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80D0" w14:textId="77777777" w:rsidR="00F35D8F" w:rsidRPr="00D857AD" w:rsidRDefault="00F35D8F" w:rsidP="00F35D8F">
      <w:pPr>
        <w:pStyle w:val="NoSpacing"/>
        <w:jc w:val="center"/>
        <w:rPr>
          <w:b/>
          <w:bCs/>
          <w:color w:val="4472C4" w:themeColor="accent1"/>
          <w:sz w:val="32"/>
          <w:szCs w:val="32"/>
        </w:rPr>
      </w:pPr>
      <w:r w:rsidRPr="00D857AD">
        <w:rPr>
          <w:b/>
          <w:bCs/>
          <w:color w:val="4472C4" w:themeColor="accent1"/>
          <w:sz w:val="32"/>
          <w:szCs w:val="32"/>
        </w:rPr>
        <w:t>Additional Issue Background and ACR Position</w:t>
      </w:r>
    </w:p>
    <w:p w14:paraId="14D09F05" w14:textId="29948499" w:rsidR="00F35D8F" w:rsidRDefault="00F35D8F" w:rsidP="00F35D8F">
      <w:pPr>
        <w:pStyle w:val="NoSpacing"/>
        <w:jc w:val="center"/>
        <w:rPr>
          <w:color w:val="4472C4" w:themeColor="accent1"/>
          <w:sz w:val="23"/>
          <w:szCs w:val="23"/>
        </w:rPr>
      </w:pPr>
      <w:r w:rsidRPr="00D857AD">
        <w:rPr>
          <w:color w:val="4472C4" w:themeColor="accent1"/>
          <w:sz w:val="23"/>
          <w:szCs w:val="23"/>
        </w:rPr>
        <w:t xml:space="preserve">(Issues/Legislation you may </w:t>
      </w:r>
      <w:proofErr w:type="gramStart"/>
      <w:r w:rsidRPr="00D857AD">
        <w:rPr>
          <w:color w:val="4472C4" w:themeColor="accent1"/>
          <w:sz w:val="23"/>
          <w:szCs w:val="23"/>
        </w:rPr>
        <w:t>be asked</w:t>
      </w:r>
      <w:proofErr w:type="gramEnd"/>
      <w:r w:rsidRPr="00D857AD">
        <w:rPr>
          <w:color w:val="4472C4" w:themeColor="accent1"/>
          <w:sz w:val="23"/>
          <w:szCs w:val="23"/>
        </w:rPr>
        <w:t xml:space="preserve"> about during your meeting)</w:t>
      </w:r>
    </w:p>
    <w:p w14:paraId="5C26DD31" w14:textId="77777777" w:rsidR="00FD5B7A" w:rsidRDefault="00FD5B7A" w:rsidP="00F35D8F">
      <w:pPr>
        <w:pStyle w:val="NoSpacing"/>
        <w:jc w:val="center"/>
        <w:rPr>
          <w:color w:val="4472C4" w:themeColor="accent1"/>
          <w:sz w:val="23"/>
          <w:szCs w:val="23"/>
        </w:rPr>
      </w:pPr>
    </w:p>
    <w:p w14:paraId="6287138E" w14:textId="77777777" w:rsidR="00FD5B7A" w:rsidRDefault="00FD5B7A" w:rsidP="00F35D8F">
      <w:pPr>
        <w:pStyle w:val="NoSpacing"/>
        <w:jc w:val="center"/>
        <w:rPr>
          <w:color w:val="4472C4" w:themeColor="accent1"/>
          <w:sz w:val="23"/>
          <w:szCs w:val="23"/>
        </w:rPr>
      </w:pPr>
    </w:p>
    <w:p w14:paraId="38B6779D" w14:textId="77777777" w:rsidR="005210F6" w:rsidRPr="006B32AC" w:rsidRDefault="005210F6" w:rsidP="005210F6">
      <w:pPr>
        <w:rPr>
          <w:rFonts w:cstheme="minorHAnsi"/>
          <w:b/>
          <w:bCs/>
          <w:sz w:val="24"/>
          <w:szCs w:val="24"/>
        </w:rPr>
      </w:pPr>
      <w:r w:rsidRPr="006B32AC">
        <w:rPr>
          <w:rFonts w:cstheme="minorHAnsi"/>
          <w:b/>
          <w:bCs/>
          <w:sz w:val="24"/>
          <w:szCs w:val="24"/>
        </w:rPr>
        <w:t>Artificial Intelligence (AI)</w:t>
      </w:r>
    </w:p>
    <w:p w14:paraId="40E5A39B" w14:textId="77777777" w:rsidR="00313181" w:rsidRPr="00783A7F" w:rsidRDefault="00313181" w:rsidP="00313181">
      <w:pPr>
        <w:rPr>
          <w:rFonts w:cstheme="minorHAnsi"/>
          <w:sz w:val="24"/>
          <w:szCs w:val="24"/>
        </w:rPr>
      </w:pPr>
      <w:r w:rsidRPr="00783A7F">
        <w:rPr>
          <w:rFonts w:cstheme="minorHAnsi"/>
          <w:sz w:val="24"/>
          <w:szCs w:val="24"/>
        </w:rPr>
        <w:t>Through its Data Science Institute (DSI) and broader advocacy efforts, the ACR has long served as a leading voice on the safe, effective, and responsible use of AI in radiology. Radiology is at the forefront of clinical AI adoption, and the ACR has helped shape best practices for model development, validation, transparency, governance, and post</w:t>
      </w:r>
      <w:r w:rsidRPr="00783A7F">
        <w:rPr>
          <w:rFonts w:ascii="Cambria Math" w:hAnsi="Cambria Math" w:cs="Cambria Math"/>
          <w:sz w:val="24"/>
          <w:szCs w:val="24"/>
        </w:rPr>
        <w:t>‑</w:t>
      </w:r>
      <w:r w:rsidRPr="00783A7F">
        <w:rPr>
          <w:rFonts w:cstheme="minorHAnsi"/>
          <w:sz w:val="24"/>
          <w:szCs w:val="24"/>
        </w:rPr>
        <w:t>deployment performance monitoring. The ACR has also engaged extensively with federal agencies on medical AI oversight, access, and appropriate payment policy to ensure AI improves patient care without compromising safety or clinical judgment.</w:t>
      </w:r>
    </w:p>
    <w:p w14:paraId="335ACE92" w14:textId="498C4BBB" w:rsidR="00313181" w:rsidRPr="006B32AC" w:rsidRDefault="00313181" w:rsidP="00313181">
      <w:pPr>
        <w:rPr>
          <w:rFonts w:cstheme="minorHAnsi"/>
          <w:sz w:val="24"/>
          <w:szCs w:val="24"/>
        </w:rPr>
      </w:pPr>
      <w:r w:rsidRPr="006B32AC">
        <w:rPr>
          <w:rFonts w:cstheme="minorHAnsi"/>
          <w:sz w:val="24"/>
          <w:szCs w:val="24"/>
          <w:u w:val="single"/>
        </w:rPr>
        <w:t>ACR Position:</w:t>
      </w:r>
      <w:r w:rsidRPr="006B32AC">
        <w:rPr>
          <w:rFonts w:cstheme="minorHAnsi"/>
          <w:sz w:val="24"/>
          <w:szCs w:val="24"/>
        </w:rPr>
        <w:t xml:space="preserve">  </w:t>
      </w:r>
      <w:r w:rsidR="009969DE" w:rsidRPr="006B32AC">
        <w:rPr>
          <w:rFonts w:cstheme="minorHAnsi"/>
          <w:sz w:val="24"/>
          <w:szCs w:val="24"/>
        </w:rPr>
        <w:t>The ACR has long been a trusted, non</w:t>
      </w:r>
      <w:r w:rsidR="009969DE" w:rsidRPr="006B32AC">
        <w:rPr>
          <w:rFonts w:ascii="Cambria Math" w:hAnsi="Cambria Math" w:cs="Cambria Math"/>
          <w:sz w:val="24"/>
          <w:szCs w:val="24"/>
        </w:rPr>
        <w:t>‑</w:t>
      </w:r>
      <w:r w:rsidR="009969DE" w:rsidRPr="006B32AC">
        <w:rPr>
          <w:rFonts w:cstheme="minorHAnsi"/>
          <w:sz w:val="24"/>
          <w:szCs w:val="24"/>
        </w:rPr>
        <w:t>partisan resource grounded in real</w:t>
      </w:r>
      <w:r w:rsidR="009969DE" w:rsidRPr="006B32AC">
        <w:rPr>
          <w:rFonts w:ascii="Cambria Math" w:hAnsi="Cambria Math" w:cs="Cambria Math"/>
          <w:sz w:val="24"/>
          <w:szCs w:val="24"/>
        </w:rPr>
        <w:t>‑</w:t>
      </w:r>
      <w:r w:rsidR="009969DE" w:rsidRPr="006B32AC">
        <w:rPr>
          <w:rFonts w:cstheme="minorHAnsi"/>
          <w:sz w:val="24"/>
          <w:szCs w:val="24"/>
        </w:rPr>
        <w:t xml:space="preserve">world clinical experience. Therefore, </w:t>
      </w:r>
      <w:r w:rsidRPr="006B32AC">
        <w:rPr>
          <w:rFonts w:cstheme="minorHAnsi"/>
          <w:sz w:val="24"/>
          <w:szCs w:val="24"/>
        </w:rPr>
        <w:t xml:space="preserve">Congress </w:t>
      </w:r>
      <w:r w:rsidR="009969DE" w:rsidRPr="006B32AC">
        <w:rPr>
          <w:rFonts w:cstheme="minorHAnsi"/>
          <w:sz w:val="24"/>
          <w:szCs w:val="24"/>
        </w:rPr>
        <w:t xml:space="preserve">should work closely with the ACR as it </w:t>
      </w:r>
      <w:r w:rsidRPr="006B32AC">
        <w:rPr>
          <w:rFonts w:cstheme="minorHAnsi"/>
          <w:sz w:val="24"/>
          <w:szCs w:val="24"/>
        </w:rPr>
        <w:t xml:space="preserve">considers healthcare AI legislation and oversight </w:t>
      </w:r>
      <w:r w:rsidR="009414DB" w:rsidRPr="006B32AC">
        <w:rPr>
          <w:rFonts w:cstheme="minorHAnsi"/>
          <w:sz w:val="24"/>
          <w:szCs w:val="24"/>
        </w:rPr>
        <w:t>policies</w:t>
      </w:r>
      <w:r w:rsidR="009969DE" w:rsidRPr="006B32AC">
        <w:rPr>
          <w:rFonts w:cstheme="minorHAnsi"/>
          <w:sz w:val="24"/>
          <w:szCs w:val="24"/>
        </w:rPr>
        <w:t>.</w:t>
      </w:r>
      <w:r w:rsidRPr="006B32AC">
        <w:rPr>
          <w:rFonts w:cstheme="minorHAnsi"/>
          <w:sz w:val="24"/>
          <w:szCs w:val="24"/>
        </w:rPr>
        <w:t xml:space="preserve"> </w:t>
      </w:r>
    </w:p>
    <w:p w14:paraId="24794AD3" w14:textId="77777777" w:rsidR="00D83ABB" w:rsidRPr="006B32AC" w:rsidRDefault="00D83ABB" w:rsidP="00D83ABB">
      <w:pPr>
        <w:pStyle w:val="NormalWeb"/>
        <w:rPr>
          <w:rFonts w:asciiTheme="minorHAnsi" w:hAnsiTheme="minorHAnsi" w:cstheme="minorHAnsi"/>
          <w:b/>
          <w:bCs/>
          <w:color w:val="000000"/>
        </w:rPr>
      </w:pPr>
      <w:r w:rsidRPr="006B32AC">
        <w:rPr>
          <w:rFonts w:asciiTheme="minorHAnsi" w:hAnsiTheme="minorHAnsi" w:cstheme="minorHAnsi"/>
          <w:b/>
          <w:bCs/>
          <w:color w:val="000000"/>
        </w:rPr>
        <w:t>Efficiency Adjustment Policy</w:t>
      </w:r>
    </w:p>
    <w:p w14:paraId="5C384E34" w14:textId="77777777" w:rsidR="00D83ABB" w:rsidRPr="006B32AC" w:rsidRDefault="00D83ABB" w:rsidP="00D83ABB">
      <w:pPr>
        <w:pStyle w:val="NormalWeb"/>
        <w:rPr>
          <w:rFonts w:asciiTheme="minorHAnsi" w:hAnsiTheme="minorHAnsi" w:cstheme="minorHAnsi"/>
          <w:color w:val="000000"/>
        </w:rPr>
      </w:pPr>
      <w:r w:rsidRPr="006B32AC">
        <w:rPr>
          <w:rFonts w:asciiTheme="minorHAnsi" w:hAnsiTheme="minorHAnsi" w:cstheme="minorHAnsi"/>
          <w:color w:val="000000"/>
        </w:rPr>
        <w:t xml:space="preserve">In the CY 2026 MPFS final rule, CMS finalized a 2.5% reduction to the work RVUs of all non-time-based codes based on perceived efficiency gains resulting from repetition over time. This adjustment </w:t>
      </w:r>
      <w:proofErr w:type="gramStart"/>
      <w:r w:rsidRPr="006B32AC">
        <w:rPr>
          <w:rFonts w:asciiTheme="minorHAnsi" w:hAnsiTheme="minorHAnsi" w:cstheme="minorHAnsi"/>
          <w:color w:val="000000"/>
        </w:rPr>
        <w:t>is expected</w:t>
      </w:r>
      <w:proofErr w:type="gramEnd"/>
      <w:r w:rsidRPr="006B32AC">
        <w:rPr>
          <w:rFonts w:asciiTheme="minorHAnsi" w:hAnsiTheme="minorHAnsi" w:cstheme="minorHAnsi"/>
          <w:color w:val="000000"/>
        </w:rPr>
        <w:t xml:space="preserve"> to </w:t>
      </w:r>
      <w:proofErr w:type="gramStart"/>
      <w:r w:rsidRPr="006B32AC">
        <w:rPr>
          <w:rFonts w:asciiTheme="minorHAnsi" w:hAnsiTheme="minorHAnsi" w:cstheme="minorHAnsi"/>
          <w:color w:val="000000"/>
        </w:rPr>
        <w:t>be reviewed</w:t>
      </w:r>
      <w:proofErr w:type="gramEnd"/>
      <w:r w:rsidRPr="006B32AC">
        <w:rPr>
          <w:rFonts w:asciiTheme="minorHAnsi" w:hAnsiTheme="minorHAnsi" w:cstheme="minorHAnsi"/>
          <w:color w:val="000000"/>
        </w:rPr>
        <w:t xml:space="preserve"> and applied every three years.</w:t>
      </w:r>
    </w:p>
    <w:p w14:paraId="15CAE9D5" w14:textId="0AF00EE3" w:rsidR="00D83ABB" w:rsidRPr="006B32AC" w:rsidRDefault="00D83ABB" w:rsidP="00D83ABB">
      <w:pPr>
        <w:pStyle w:val="NormalWeb"/>
        <w:rPr>
          <w:rFonts w:asciiTheme="minorHAnsi" w:hAnsiTheme="minorHAnsi" w:cstheme="minorHAnsi"/>
          <w:color w:val="000000"/>
        </w:rPr>
      </w:pPr>
      <w:r w:rsidRPr="006B32AC">
        <w:rPr>
          <w:rFonts w:asciiTheme="minorHAnsi" w:hAnsiTheme="minorHAnsi" w:cstheme="minorHAnsi"/>
          <w:color w:val="000000"/>
          <w:u w:val="single"/>
        </w:rPr>
        <w:t>ACR Position</w:t>
      </w:r>
      <w:r w:rsidRPr="006B32AC">
        <w:rPr>
          <w:rFonts w:asciiTheme="minorHAnsi" w:hAnsiTheme="minorHAnsi" w:cstheme="minorHAnsi"/>
          <w:color w:val="000000"/>
        </w:rPr>
        <w:t xml:space="preserve">: ACR strongly opposes the efficiency adjustment policy. Advancements in imaging technology have not reduced radiologists’ workload. Higher-resolution imaging and AI tools generate </w:t>
      </w:r>
      <w:proofErr w:type="gramStart"/>
      <w:r w:rsidRPr="006B32AC">
        <w:rPr>
          <w:rFonts w:asciiTheme="minorHAnsi" w:hAnsiTheme="minorHAnsi" w:cstheme="minorHAnsi"/>
          <w:color w:val="000000"/>
        </w:rPr>
        <w:t>substantially more</w:t>
      </w:r>
      <w:proofErr w:type="gramEnd"/>
      <w:r w:rsidRPr="006B32AC">
        <w:rPr>
          <w:rFonts w:asciiTheme="minorHAnsi" w:hAnsiTheme="minorHAnsi" w:cstheme="minorHAnsi"/>
          <w:color w:val="000000"/>
        </w:rPr>
        <w:t xml:space="preserve"> images and require greater interpretive skill, cognitive effort, and documentation. Applying across-the-board payment cuts in this context undervalues radiologists’ expertise, may limit patient access to timely imaging, and may discourage adoption of </w:t>
      </w:r>
      <w:proofErr w:type="gramStart"/>
      <w:r w:rsidRPr="006B32AC">
        <w:rPr>
          <w:rFonts w:asciiTheme="minorHAnsi" w:hAnsiTheme="minorHAnsi" w:cstheme="minorHAnsi"/>
          <w:color w:val="000000"/>
        </w:rPr>
        <w:t>new technologies</w:t>
      </w:r>
      <w:proofErr w:type="gramEnd"/>
      <w:r w:rsidRPr="006B32AC">
        <w:rPr>
          <w:rFonts w:asciiTheme="minorHAnsi" w:hAnsiTheme="minorHAnsi" w:cstheme="minorHAnsi"/>
          <w:color w:val="000000"/>
        </w:rPr>
        <w:t>.</w:t>
      </w:r>
    </w:p>
    <w:p w14:paraId="65B7091B" w14:textId="5F27D2B2" w:rsidR="005210F6" w:rsidRPr="006B32AC" w:rsidRDefault="005210F6" w:rsidP="005210F6">
      <w:pPr>
        <w:rPr>
          <w:rFonts w:cstheme="minorHAnsi"/>
          <w:b/>
          <w:bCs/>
          <w:sz w:val="24"/>
          <w:szCs w:val="24"/>
        </w:rPr>
      </w:pPr>
      <w:r w:rsidRPr="006B32AC">
        <w:rPr>
          <w:rFonts w:cstheme="minorHAnsi"/>
          <w:b/>
          <w:bCs/>
          <w:sz w:val="24"/>
          <w:szCs w:val="24"/>
        </w:rPr>
        <w:t xml:space="preserve">Find it Early Act </w:t>
      </w:r>
      <w:r w:rsidR="00975F05" w:rsidRPr="006B32AC">
        <w:rPr>
          <w:rFonts w:cstheme="minorHAnsi"/>
          <w:b/>
          <w:bCs/>
          <w:sz w:val="24"/>
          <w:szCs w:val="24"/>
        </w:rPr>
        <w:t>(H.R. 6182)</w:t>
      </w:r>
    </w:p>
    <w:p w14:paraId="39E542ED" w14:textId="77777777" w:rsidR="005210F6" w:rsidRPr="006B32AC" w:rsidRDefault="005210F6" w:rsidP="005210F6">
      <w:pPr>
        <w:rPr>
          <w:rFonts w:cstheme="minorHAnsi"/>
          <w:sz w:val="24"/>
          <w:szCs w:val="24"/>
        </w:rPr>
      </w:pPr>
      <w:r w:rsidRPr="006B32AC">
        <w:rPr>
          <w:rFonts w:cstheme="minorHAnsi"/>
          <w:sz w:val="24"/>
          <w:szCs w:val="24"/>
        </w:rPr>
        <w:t>The Find it Early Act requires coverage with no cost sharing for additional screening and diagnostic breast imaging exams for the detection of breast cancer for certain individuals assessed to be at greater risk for breast cancer.</w:t>
      </w:r>
    </w:p>
    <w:p w14:paraId="2B454A14" w14:textId="77777777" w:rsidR="005210F6" w:rsidRPr="006B32AC" w:rsidRDefault="005210F6" w:rsidP="005210F6">
      <w:pPr>
        <w:rPr>
          <w:rFonts w:cstheme="minorHAnsi"/>
          <w:sz w:val="24"/>
          <w:szCs w:val="24"/>
        </w:rPr>
      </w:pPr>
      <w:r w:rsidRPr="006B32AC">
        <w:rPr>
          <w:rFonts w:cstheme="minorHAnsi"/>
          <w:sz w:val="24"/>
          <w:szCs w:val="24"/>
        </w:rPr>
        <w:t>The coverage requirement would apply to private insurance, Medicare, Medicare Advantage, Medicaid, TRICARE, and the Department of Veterans Affairs.</w:t>
      </w:r>
    </w:p>
    <w:p w14:paraId="093AB561" w14:textId="06FA901C" w:rsidR="002E02B9" w:rsidRPr="006B32AC" w:rsidRDefault="005210F6" w:rsidP="005210F6">
      <w:pPr>
        <w:rPr>
          <w:rFonts w:cstheme="minorHAnsi"/>
          <w:sz w:val="24"/>
          <w:szCs w:val="24"/>
        </w:rPr>
      </w:pPr>
      <w:r w:rsidRPr="006B32AC">
        <w:rPr>
          <w:rFonts w:cstheme="minorHAnsi"/>
          <w:sz w:val="24"/>
          <w:szCs w:val="24"/>
          <w:u w:val="single"/>
        </w:rPr>
        <w:t>ACR Position</w:t>
      </w:r>
      <w:r w:rsidRPr="006B32AC">
        <w:rPr>
          <w:rFonts w:cstheme="minorHAnsi"/>
          <w:sz w:val="24"/>
          <w:szCs w:val="24"/>
        </w:rPr>
        <w:t xml:space="preserve">: </w:t>
      </w:r>
      <w:r w:rsidR="003E6593" w:rsidRPr="006B32AC">
        <w:rPr>
          <w:rFonts w:cstheme="minorHAnsi"/>
          <w:sz w:val="24"/>
          <w:szCs w:val="24"/>
        </w:rPr>
        <w:t>We support the bill’s intent to cover diagnostic and supplemental breast imaging without cost barriers, including modalities commonly recommended in ACR practice parameters &amp; technical standards and physician-developed Appropriate Use Criteria.</w:t>
      </w:r>
    </w:p>
    <w:p w14:paraId="2C63D0E4" w14:textId="77777777" w:rsidR="00D83ABB" w:rsidRPr="006B32AC" w:rsidRDefault="00D83ABB" w:rsidP="002E02B9">
      <w:pPr>
        <w:rPr>
          <w:rFonts w:cstheme="minorHAnsi"/>
          <w:b/>
          <w:bCs/>
          <w:sz w:val="24"/>
          <w:szCs w:val="24"/>
        </w:rPr>
      </w:pPr>
    </w:p>
    <w:p w14:paraId="2C128BB9" w14:textId="77777777" w:rsidR="00D83ABB" w:rsidRPr="006B32AC" w:rsidRDefault="00D83ABB" w:rsidP="002E02B9">
      <w:pPr>
        <w:rPr>
          <w:rFonts w:cstheme="minorHAnsi"/>
          <w:b/>
          <w:bCs/>
          <w:sz w:val="24"/>
          <w:szCs w:val="24"/>
        </w:rPr>
      </w:pPr>
    </w:p>
    <w:p w14:paraId="14F5317C" w14:textId="0C51756D" w:rsidR="002E02B9" w:rsidRPr="006B32AC" w:rsidRDefault="002E02B9" w:rsidP="002E02B9">
      <w:pPr>
        <w:rPr>
          <w:rFonts w:cstheme="minorHAnsi"/>
          <w:b/>
          <w:bCs/>
          <w:sz w:val="24"/>
          <w:szCs w:val="24"/>
        </w:rPr>
      </w:pPr>
      <w:r w:rsidRPr="006B32AC">
        <w:rPr>
          <w:rFonts w:cstheme="minorHAnsi"/>
          <w:b/>
          <w:bCs/>
          <w:sz w:val="24"/>
          <w:szCs w:val="24"/>
        </w:rPr>
        <w:lastRenderedPageBreak/>
        <w:t>H-1Bs for Physicians and the Healthcare Workforce Act (H.R. 7961)</w:t>
      </w:r>
    </w:p>
    <w:p w14:paraId="1D782902" w14:textId="77777777" w:rsidR="002E02B9" w:rsidRPr="006B32AC" w:rsidRDefault="002E02B9" w:rsidP="002E02B9">
      <w:pPr>
        <w:rPr>
          <w:rFonts w:cstheme="minorHAnsi"/>
          <w:sz w:val="24"/>
          <w:szCs w:val="24"/>
        </w:rPr>
      </w:pPr>
      <w:r w:rsidRPr="006B32AC">
        <w:rPr>
          <w:rFonts w:cstheme="minorHAnsi"/>
          <w:sz w:val="24"/>
          <w:szCs w:val="24"/>
        </w:rPr>
        <w:t xml:space="preserve">This bipartisan legislation will exempt physicians and other health care workers from the administration’s policy requiring a $100,000 fee for H-1B petitions. It also prohibits new H-1B fees from </w:t>
      </w:r>
      <w:proofErr w:type="gramStart"/>
      <w:r w:rsidRPr="006B32AC">
        <w:rPr>
          <w:rFonts w:cstheme="minorHAnsi"/>
          <w:sz w:val="24"/>
          <w:szCs w:val="24"/>
        </w:rPr>
        <w:t>being imposed</w:t>
      </w:r>
      <w:proofErr w:type="gramEnd"/>
      <w:r w:rsidRPr="006B32AC">
        <w:rPr>
          <w:rFonts w:cstheme="minorHAnsi"/>
          <w:sz w:val="24"/>
          <w:szCs w:val="24"/>
        </w:rPr>
        <w:t xml:space="preserve"> on health care workers that exceed the existing fees under the U.S. code.</w:t>
      </w:r>
    </w:p>
    <w:p w14:paraId="5B13ABA0" w14:textId="1CA70510" w:rsidR="006020D7" w:rsidRPr="006B32AC" w:rsidRDefault="006020D7" w:rsidP="002E02B9">
      <w:pPr>
        <w:rPr>
          <w:rFonts w:cstheme="minorHAnsi"/>
          <w:sz w:val="24"/>
          <w:szCs w:val="24"/>
        </w:rPr>
      </w:pPr>
      <w:r w:rsidRPr="006B32AC">
        <w:rPr>
          <w:rFonts w:cstheme="minorHAnsi"/>
          <w:sz w:val="24"/>
          <w:szCs w:val="24"/>
          <w:u w:val="single"/>
        </w:rPr>
        <w:t>ACR Position</w:t>
      </w:r>
      <w:r w:rsidRPr="006B32AC">
        <w:rPr>
          <w:rFonts w:cstheme="minorHAnsi"/>
          <w:sz w:val="24"/>
          <w:szCs w:val="24"/>
        </w:rPr>
        <w:t>: Support</w:t>
      </w:r>
    </w:p>
    <w:p w14:paraId="2DDD3F64" w14:textId="77777777" w:rsidR="009A3098" w:rsidRPr="006B32AC" w:rsidRDefault="009A3098" w:rsidP="009A3098">
      <w:pPr>
        <w:rPr>
          <w:rFonts w:cstheme="minorHAnsi"/>
          <w:b/>
          <w:bCs/>
          <w:sz w:val="24"/>
          <w:szCs w:val="24"/>
        </w:rPr>
      </w:pPr>
      <w:r w:rsidRPr="006B32AC">
        <w:rPr>
          <w:rFonts w:cstheme="minorHAnsi"/>
          <w:b/>
          <w:bCs/>
          <w:sz w:val="24"/>
          <w:szCs w:val="24"/>
        </w:rPr>
        <w:t>Improving Seniors’ Timely Access to Care Act of 2025 (H.R. 3514/S.1816)</w:t>
      </w:r>
    </w:p>
    <w:p w14:paraId="1BD5A9CF" w14:textId="77777777" w:rsidR="009A3098" w:rsidRPr="006B32AC" w:rsidRDefault="009A3098" w:rsidP="009A3098">
      <w:pPr>
        <w:rPr>
          <w:rFonts w:cstheme="minorHAnsi"/>
          <w:sz w:val="24"/>
          <w:szCs w:val="24"/>
        </w:rPr>
      </w:pPr>
      <w:r w:rsidRPr="006B32AC">
        <w:rPr>
          <w:rFonts w:cstheme="minorHAnsi"/>
          <w:sz w:val="24"/>
          <w:szCs w:val="24"/>
        </w:rPr>
        <w:t>This legislation streamlines the outdated prior authorization process in Medicare Advantage (MA). It would require MA plans to adopt an electronic prior authorization (e-PA) system with standardized transactions; improve transparency; clarify HHS’s authority to set timelines for determinations— including real-time decisions for routine items; and mandate a report on oversight.</w:t>
      </w:r>
    </w:p>
    <w:p w14:paraId="6F704A7F" w14:textId="5E8709BA" w:rsidR="009D51DC" w:rsidRPr="006B32AC" w:rsidRDefault="009A3098" w:rsidP="00062D45">
      <w:pPr>
        <w:rPr>
          <w:rFonts w:cstheme="minorHAnsi"/>
          <w:sz w:val="24"/>
          <w:szCs w:val="24"/>
        </w:rPr>
      </w:pPr>
      <w:r w:rsidRPr="006B32AC">
        <w:rPr>
          <w:rFonts w:cstheme="minorHAnsi"/>
          <w:sz w:val="24"/>
          <w:szCs w:val="24"/>
          <w:u w:val="single"/>
        </w:rPr>
        <w:t>ACR Position</w:t>
      </w:r>
      <w:r w:rsidRPr="006B32AC">
        <w:rPr>
          <w:rFonts w:cstheme="minorHAnsi"/>
          <w:sz w:val="24"/>
          <w:szCs w:val="24"/>
        </w:rPr>
        <w:t>: Support</w:t>
      </w:r>
    </w:p>
    <w:p w14:paraId="21018986" w14:textId="39C90276" w:rsidR="00062D45" w:rsidRPr="006B32AC" w:rsidRDefault="00062D45" w:rsidP="00062D45">
      <w:pPr>
        <w:rPr>
          <w:rFonts w:cstheme="minorHAnsi"/>
          <w:b/>
          <w:bCs/>
          <w:sz w:val="24"/>
          <w:szCs w:val="24"/>
        </w:rPr>
      </w:pPr>
      <w:r w:rsidRPr="006B32AC">
        <w:rPr>
          <w:rFonts w:cstheme="minorHAnsi"/>
          <w:b/>
          <w:bCs/>
          <w:sz w:val="24"/>
          <w:szCs w:val="24"/>
        </w:rPr>
        <w:t>The National Institutes of Health (NIH) FY 2</w:t>
      </w:r>
      <w:r w:rsidR="00A772B1" w:rsidRPr="006B32AC">
        <w:rPr>
          <w:rFonts w:cstheme="minorHAnsi"/>
          <w:b/>
          <w:bCs/>
          <w:sz w:val="24"/>
          <w:szCs w:val="24"/>
        </w:rPr>
        <w:t>7</w:t>
      </w:r>
      <w:r w:rsidRPr="006B32AC">
        <w:rPr>
          <w:rFonts w:cstheme="minorHAnsi"/>
          <w:b/>
          <w:bCs/>
          <w:sz w:val="24"/>
          <w:szCs w:val="24"/>
        </w:rPr>
        <w:t xml:space="preserve"> Appropriations</w:t>
      </w:r>
    </w:p>
    <w:p w14:paraId="53059625" w14:textId="03CF5ECB" w:rsidR="00062D45" w:rsidRPr="006B32AC" w:rsidRDefault="00062D45" w:rsidP="00062D45">
      <w:pPr>
        <w:rPr>
          <w:rFonts w:cstheme="minorHAnsi"/>
          <w:sz w:val="24"/>
          <w:szCs w:val="24"/>
        </w:rPr>
      </w:pPr>
      <w:r w:rsidRPr="006B32AC">
        <w:rPr>
          <w:rFonts w:cstheme="minorHAnsi"/>
          <w:sz w:val="24"/>
          <w:szCs w:val="24"/>
        </w:rPr>
        <w:t xml:space="preserve">ACR urges Congress to provide at least $51.3 billion to NIH for FY </w:t>
      </w:r>
      <w:r w:rsidR="00054B5C" w:rsidRPr="006B32AC">
        <w:rPr>
          <w:rFonts w:cstheme="minorHAnsi"/>
          <w:sz w:val="24"/>
          <w:szCs w:val="24"/>
        </w:rPr>
        <w:t>2027</w:t>
      </w:r>
      <w:r w:rsidRPr="006B32AC">
        <w:rPr>
          <w:rFonts w:cstheme="minorHAnsi"/>
          <w:sz w:val="24"/>
          <w:szCs w:val="24"/>
        </w:rPr>
        <w:t xml:space="preserve">. Funding for NIH and our national research infrastructure allows for the continued advancement of scientific discoveries and breakthroughs, improving the lives of patients with a wide spectrum of diseases and disorders, </w:t>
      </w:r>
      <w:proofErr w:type="gramStart"/>
      <w:r w:rsidRPr="006B32AC">
        <w:rPr>
          <w:rFonts w:cstheme="minorHAnsi"/>
          <w:sz w:val="24"/>
          <w:szCs w:val="24"/>
        </w:rPr>
        <w:t>many</w:t>
      </w:r>
      <w:proofErr w:type="gramEnd"/>
      <w:r w:rsidRPr="006B32AC">
        <w:rPr>
          <w:rFonts w:cstheme="minorHAnsi"/>
          <w:sz w:val="24"/>
          <w:szCs w:val="24"/>
        </w:rPr>
        <w:t xml:space="preserve"> of whom depend on radiology tools for prevention, diagnosis, and treatment of disease. Congress’ continued commitment to a strong federal investment in the United States biomedical research enterprise is vital to improve our nation's health, propel the economy, and keep the United States at the forefront of innovation in funding biomedical research efforts. Additionally, ACR is asking for $1.</w:t>
      </w:r>
      <w:r w:rsidR="00815AC1" w:rsidRPr="006B32AC">
        <w:rPr>
          <w:rFonts w:cstheme="minorHAnsi"/>
          <w:sz w:val="24"/>
          <w:szCs w:val="24"/>
        </w:rPr>
        <w:t>7</w:t>
      </w:r>
      <w:r w:rsidRPr="006B32AC">
        <w:rPr>
          <w:rFonts w:cstheme="minorHAnsi"/>
          <w:sz w:val="24"/>
          <w:szCs w:val="24"/>
        </w:rPr>
        <w:t xml:space="preserve"> billion for the Advanced Research Projects Agency for Health (ARPA-H). </w:t>
      </w:r>
      <w:r w:rsidR="00427D2E" w:rsidRPr="006B32AC">
        <w:rPr>
          <w:rFonts w:cstheme="minorHAnsi"/>
          <w:sz w:val="24"/>
          <w:szCs w:val="24"/>
        </w:rPr>
        <w:t>The administration’s FY2027 budget requested</w:t>
      </w:r>
      <w:r w:rsidR="00427D2E" w:rsidRPr="006B32AC">
        <w:rPr>
          <w:rFonts w:eastAsia="Times New Roman" w:cstheme="minorHAnsi"/>
          <w:sz w:val="24"/>
          <w:szCs w:val="24"/>
        </w:rPr>
        <w:t xml:space="preserve"> </w:t>
      </w:r>
      <w:r w:rsidR="00427D2E" w:rsidRPr="006B32AC">
        <w:rPr>
          <w:rFonts w:cstheme="minorHAnsi"/>
          <w:sz w:val="24"/>
          <w:szCs w:val="24"/>
        </w:rPr>
        <w:t>$41.4 billion for NIH (a 12.3% cut) and $945 million for ARPA-H (a cut of $555 million).</w:t>
      </w:r>
    </w:p>
    <w:p w14:paraId="185DF9B0" w14:textId="77777777" w:rsidR="00062D45" w:rsidRPr="006B32AC" w:rsidRDefault="00062D45" w:rsidP="00062D45">
      <w:pPr>
        <w:rPr>
          <w:rFonts w:cstheme="minorHAnsi"/>
          <w:sz w:val="24"/>
          <w:szCs w:val="24"/>
        </w:rPr>
      </w:pPr>
      <w:r w:rsidRPr="006B32AC">
        <w:rPr>
          <w:rFonts w:cstheme="minorHAnsi"/>
          <w:sz w:val="24"/>
          <w:szCs w:val="24"/>
          <w:u w:val="single"/>
        </w:rPr>
        <w:t>ACR Position:</w:t>
      </w:r>
      <w:r w:rsidRPr="006B32AC">
        <w:rPr>
          <w:rFonts w:cstheme="minorHAnsi"/>
          <w:i/>
          <w:iCs/>
          <w:sz w:val="24"/>
          <w:szCs w:val="24"/>
        </w:rPr>
        <w:t xml:space="preserve"> </w:t>
      </w:r>
      <w:r w:rsidRPr="006B32AC">
        <w:rPr>
          <w:rFonts w:cstheme="minorHAnsi"/>
          <w:sz w:val="24"/>
          <w:szCs w:val="24"/>
        </w:rPr>
        <w:t>Support</w:t>
      </w:r>
    </w:p>
    <w:p w14:paraId="68408C28" w14:textId="1E60EDFD" w:rsidR="00062D45" w:rsidRPr="006B32AC" w:rsidRDefault="00062D45" w:rsidP="00062D45">
      <w:pPr>
        <w:rPr>
          <w:rFonts w:cstheme="minorHAnsi"/>
          <w:b/>
          <w:bCs/>
          <w:sz w:val="24"/>
          <w:szCs w:val="24"/>
        </w:rPr>
      </w:pPr>
      <w:r w:rsidRPr="006B32AC">
        <w:rPr>
          <w:rFonts w:cstheme="minorHAnsi"/>
          <w:b/>
          <w:bCs/>
          <w:sz w:val="24"/>
          <w:szCs w:val="24"/>
        </w:rPr>
        <w:t xml:space="preserve">NIH – Indirect Costs Reduction </w:t>
      </w:r>
    </w:p>
    <w:p w14:paraId="0F4DD5B7" w14:textId="5399053C" w:rsidR="00062D45" w:rsidRPr="006B32AC" w:rsidRDefault="00062D45" w:rsidP="00062D45">
      <w:pPr>
        <w:rPr>
          <w:rFonts w:cstheme="minorHAnsi"/>
          <w:sz w:val="24"/>
          <w:szCs w:val="24"/>
        </w:rPr>
      </w:pPr>
      <w:r w:rsidRPr="006B32AC">
        <w:rPr>
          <w:rFonts w:cstheme="minorHAnsi"/>
          <w:sz w:val="24"/>
          <w:szCs w:val="24"/>
        </w:rPr>
        <w:t>The White House directed NIH to release a notice of its intent to cut reimbursement of research facilities and administrative (F&amp;A) costs, often referred to as indirect costs, to a standard rate of 15% for institutes of higher education, despite already determined contracts. The FY202</w:t>
      </w:r>
      <w:r w:rsidR="00815AC1" w:rsidRPr="006B32AC">
        <w:rPr>
          <w:rFonts w:cstheme="minorHAnsi"/>
          <w:sz w:val="24"/>
          <w:szCs w:val="24"/>
        </w:rPr>
        <w:t>6</w:t>
      </w:r>
      <w:r w:rsidRPr="006B32AC">
        <w:rPr>
          <w:rFonts w:cstheme="minorHAnsi"/>
          <w:sz w:val="24"/>
          <w:szCs w:val="24"/>
        </w:rPr>
        <w:t xml:space="preserve"> CR extends statutory language preventing the Administration from imposing a 15% cap on F&amp;A cost reimbursement. Multiple lawsuits </w:t>
      </w:r>
      <w:proofErr w:type="gramStart"/>
      <w:r w:rsidRPr="006B32AC">
        <w:rPr>
          <w:rFonts w:cstheme="minorHAnsi"/>
          <w:sz w:val="24"/>
          <w:szCs w:val="24"/>
        </w:rPr>
        <w:t>were filed</w:t>
      </w:r>
      <w:proofErr w:type="gramEnd"/>
      <w:r w:rsidRPr="006B32AC">
        <w:rPr>
          <w:rFonts w:cstheme="minorHAnsi"/>
          <w:sz w:val="24"/>
          <w:szCs w:val="24"/>
        </w:rPr>
        <w:t xml:space="preserve">, and a federal judge issued a permanent injunction seeking to halt the Administration’s planned cuts, stating the notice was unlawful and would result in irreparable harm to the research mission at institutions. </w:t>
      </w:r>
      <w:r w:rsidR="00815AC1" w:rsidRPr="006B32AC">
        <w:rPr>
          <w:rFonts w:cstheme="minorHAnsi"/>
          <w:sz w:val="24"/>
          <w:szCs w:val="24"/>
        </w:rPr>
        <w:t>The ACR has joined coalition efforts of the Joint Associations Group (JAG), which aims to offer an alternative solution to the continuing concerns of F&amp;A costs and work with the Office of Management and Budget on a newly designed system.</w:t>
      </w:r>
      <w:r w:rsidR="0099534C" w:rsidRPr="006B32AC">
        <w:rPr>
          <w:rFonts w:cstheme="minorHAnsi"/>
          <w:sz w:val="24"/>
          <w:szCs w:val="24"/>
        </w:rPr>
        <w:t xml:space="preserve"> In the administration’s FY2027 budget, it </w:t>
      </w:r>
      <w:proofErr w:type="gramStart"/>
      <w:r w:rsidR="0099534C" w:rsidRPr="006B32AC">
        <w:rPr>
          <w:rFonts w:cstheme="minorHAnsi"/>
          <w:sz w:val="24"/>
          <w:szCs w:val="24"/>
        </w:rPr>
        <w:t>was again stated</w:t>
      </w:r>
      <w:proofErr w:type="gramEnd"/>
      <w:r w:rsidR="0099534C" w:rsidRPr="006B32AC">
        <w:rPr>
          <w:rFonts w:cstheme="minorHAnsi"/>
          <w:sz w:val="24"/>
          <w:szCs w:val="24"/>
        </w:rPr>
        <w:t xml:space="preserve"> the intent to continue the policy to cap indirect cost rates at 15 percent, ensuring that funds support direct scientific research costs rather than administrative overhead.</w:t>
      </w:r>
    </w:p>
    <w:p w14:paraId="6E4B0350" w14:textId="77777777" w:rsidR="00B30D3F" w:rsidRPr="006B32AC" w:rsidRDefault="00062D45" w:rsidP="00B30D3F">
      <w:pPr>
        <w:rPr>
          <w:rFonts w:cstheme="minorHAnsi"/>
          <w:sz w:val="24"/>
          <w:szCs w:val="24"/>
        </w:rPr>
      </w:pPr>
      <w:r w:rsidRPr="006B32AC">
        <w:rPr>
          <w:rFonts w:cstheme="minorHAnsi"/>
          <w:sz w:val="24"/>
          <w:szCs w:val="24"/>
          <w:u w:val="single"/>
        </w:rPr>
        <w:t>ACR Position:</w:t>
      </w:r>
      <w:r w:rsidRPr="006B32AC">
        <w:rPr>
          <w:rFonts w:cstheme="minorHAnsi"/>
          <w:i/>
          <w:iCs/>
          <w:sz w:val="24"/>
          <w:szCs w:val="24"/>
        </w:rPr>
        <w:t xml:space="preserve"> </w:t>
      </w:r>
      <w:r w:rsidRPr="006B32AC">
        <w:rPr>
          <w:rFonts w:cstheme="minorHAnsi"/>
          <w:sz w:val="24"/>
          <w:szCs w:val="24"/>
        </w:rPr>
        <w:t>Oppose</w:t>
      </w:r>
    </w:p>
    <w:p w14:paraId="3A26D7EC" w14:textId="37CA7DDB" w:rsidR="00D83ABB" w:rsidRPr="006B32AC" w:rsidRDefault="00D83ABB" w:rsidP="00B30D3F">
      <w:pPr>
        <w:rPr>
          <w:rFonts w:cstheme="minorHAnsi"/>
          <w:i/>
          <w:iCs/>
          <w:sz w:val="24"/>
          <w:szCs w:val="24"/>
        </w:rPr>
      </w:pPr>
      <w:r w:rsidRPr="006B32AC">
        <w:rPr>
          <w:rStyle w:val="Strong"/>
          <w:rFonts w:cstheme="minorHAnsi"/>
          <w:color w:val="000000"/>
          <w:sz w:val="24"/>
          <w:szCs w:val="24"/>
        </w:rPr>
        <w:lastRenderedPageBreak/>
        <w:t>Medicare Site Neutral Policy</w:t>
      </w:r>
    </w:p>
    <w:p w14:paraId="7F365C76" w14:textId="77777777" w:rsidR="00D83ABB" w:rsidRPr="006B32AC" w:rsidRDefault="00D83ABB" w:rsidP="00D83ABB">
      <w:pPr>
        <w:pStyle w:val="NormalWeb"/>
        <w:rPr>
          <w:rFonts w:asciiTheme="minorHAnsi" w:hAnsiTheme="minorHAnsi" w:cstheme="minorHAnsi"/>
          <w:color w:val="000000"/>
        </w:rPr>
      </w:pPr>
      <w:r w:rsidRPr="006B32AC">
        <w:rPr>
          <w:rFonts w:asciiTheme="minorHAnsi" w:hAnsiTheme="minorHAnsi" w:cstheme="minorHAnsi"/>
          <w:color w:val="000000"/>
        </w:rPr>
        <w:t xml:space="preserve">Congress is exploring (again) legislation that would pay the same for </w:t>
      </w:r>
      <w:proofErr w:type="gramStart"/>
      <w:r w:rsidRPr="006B32AC">
        <w:rPr>
          <w:rFonts w:asciiTheme="minorHAnsi" w:hAnsiTheme="minorHAnsi" w:cstheme="minorHAnsi"/>
          <w:color w:val="000000"/>
        </w:rPr>
        <w:t>some</w:t>
      </w:r>
      <w:proofErr w:type="gramEnd"/>
      <w:r w:rsidRPr="006B32AC">
        <w:rPr>
          <w:rFonts w:asciiTheme="minorHAnsi" w:hAnsiTheme="minorHAnsi" w:cstheme="minorHAnsi"/>
          <w:color w:val="000000"/>
        </w:rPr>
        <w:t xml:space="preserve"> medical services, regardless of clinical setting. Early hearings indicate lawmakers have not identified a specific site neutral policy to advance in the legislature, however, due to the tremendous amount of potential savings associated with such a policy, ACR anticipates that further discussion of the topic will continue.</w:t>
      </w:r>
    </w:p>
    <w:p w14:paraId="6E291C12" w14:textId="296D8303" w:rsidR="00D83ABB" w:rsidRPr="006B32AC" w:rsidRDefault="00D83ABB" w:rsidP="00D83ABB">
      <w:pPr>
        <w:pStyle w:val="NormalWeb"/>
        <w:rPr>
          <w:rFonts w:asciiTheme="minorHAnsi" w:hAnsiTheme="minorHAnsi" w:cstheme="minorHAnsi"/>
          <w:color w:val="000000"/>
        </w:rPr>
      </w:pPr>
      <w:r w:rsidRPr="006B32AC">
        <w:rPr>
          <w:rFonts w:asciiTheme="minorHAnsi" w:hAnsiTheme="minorHAnsi" w:cstheme="minorHAnsi"/>
          <w:color w:val="000000"/>
          <w:u w:val="single"/>
        </w:rPr>
        <w:t>ACR Position:</w:t>
      </w:r>
      <w:r w:rsidRPr="006B32AC">
        <w:rPr>
          <w:rFonts w:asciiTheme="minorHAnsi" w:hAnsiTheme="minorHAnsi" w:cstheme="minorHAnsi"/>
          <w:color w:val="000000"/>
        </w:rPr>
        <w:t xml:space="preserve"> More policy details need to emerge, especially since advanced imaging has </w:t>
      </w:r>
      <w:proofErr w:type="gramStart"/>
      <w:r w:rsidRPr="006B32AC">
        <w:rPr>
          <w:rFonts w:asciiTheme="minorHAnsi" w:hAnsiTheme="minorHAnsi" w:cstheme="minorHAnsi"/>
          <w:color w:val="000000"/>
        </w:rPr>
        <w:t>been subjected</w:t>
      </w:r>
      <w:proofErr w:type="gramEnd"/>
      <w:r w:rsidRPr="006B32AC">
        <w:rPr>
          <w:rFonts w:asciiTheme="minorHAnsi" w:hAnsiTheme="minorHAnsi" w:cstheme="minorHAnsi"/>
          <w:color w:val="000000"/>
        </w:rPr>
        <w:t xml:space="preserve"> to a site neutral policy since the DRA of 2005. </w:t>
      </w:r>
    </w:p>
    <w:p w14:paraId="0828AC45" w14:textId="12E8203A" w:rsidR="00614629" w:rsidRPr="006B32AC" w:rsidRDefault="00614629" w:rsidP="00614629">
      <w:pPr>
        <w:rPr>
          <w:rFonts w:cstheme="minorHAnsi"/>
          <w:b/>
          <w:bCs/>
          <w:sz w:val="24"/>
          <w:szCs w:val="24"/>
        </w:rPr>
      </w:pPr>
      <w:r w:rsidRPr="006B32AC">
        <w:rPr>
          <w:rFonts w:cstheme="minorHAnsi"/>
          <w:b/>
          <w:bCs/>
          <w:sz w:val="24"/>
          <w:szCs w:val="24"/>
        </w:rPr>
        <w:t>Nuclear Medicine Clarification Act of 202</w:t>
      </w:r>
      <w:r w:rsidR="004D2E79" w:rsidRPr="006B32AC">
        <w:rPr>
          <w:rFonts w:cstheme="minorHAnsi"/>
          <w:b/>
          <w:bCs/>
          <w:sz w:val="24"/>
          <w:szCs w:val="24"/>
        </w:rPr>
        <w:t>5</w:t>
      </w:r>
      <w:r w:rsidRPr="006B32AC">
        <w:rPr>
          <w:rFonts w:cstheme="minorHAnsi"/>
          <w:b/>
          <w:bCs/>
          <w:sz w:val="24"/>
          <w:szCs w:val="24"/>
        </w:rPr>
        <w:t xml:space="preserve"> (H.R. </w:t>
      </w:r>
      <w:r w:rsidR="004D2E79" w:rsidRPr="006B32AC">
        <w:rPr>
          <w:rFonts w:cstheme="minorHAnsi"/>
          <w:b/>
          <w:bCs/>
          <w:sz w:val="24"/>
          <w:szCs w:val="24"/>
        </w:rPr>
        <w:t>2541</w:t>
      </w:r>
      <w:r w:rsidRPr="006B32AC">
        <w:rPr>
          <w:rFonts w:cstheme="minorHAnsi"/>
          <w:b/>
          <w:bCs/>
          <w:sz w:val="24"/>
          <w:szCs w:val="24"/>
        </w:rPr>
        <w:t>)</w:t>
      </w:r>
    </w:p>
    <w:p w14:paraId="67E0902B" w14:textId="113AF75A" w:rsidR="00054B5C" w:rsidRPr="006B32AC" w:rsidRDefault="00A81E2D" w:rsidP="00E940CB">
      <w:pPr>
        <w:rPr>
          <w:rFonts w:cstheme="minorHAnsi"/>
          <w:sz w:val="24"/>
          <w:szCs w:val="24"/>
        </w:rPr>
      </w:pPr>
      <w:r w:rsidRPr="006B32AC">
        <w:rPr>
          <w:rFonts w:cstheme="minorHAnsi"/>
          <w:sz w:val="24"/>
          <w:szCs w:val="24"/>
        </w:rPr>
        <w:t>H.R. 2541 would impose new Nuclear Regulatory Commission (NRC) reporting requirements by classifying nuclear medicine (NM) extravasations as “medical events” and mandating routine injection</w:t>
      </w:r>
      <w:r w:rsidRPr="006B32AC">
        <w:rPr>
          <w:rFonts w:ascii="Cambria Math" w:hAnsi="Cambria Math" w:cs="Cambria Math"/>
          <w:sz w:val="24"/>
          <w:szCs w:val="24"/>
        </w:rPr>
        <w:t>‑</w:t>
      </w:r>
      <w:r w:rsidRPr="006B32AC">
        <w:rPr>
          <w:rFonts w:cstheme="minorHAnsi"/>
          <w:sz w:val="24"/>
          <w:szCs w:val="24"/>
        </w:rPr>
        <w:t>site monitoring and novel radiation dose estimates for all diagnostic and therapeutic</w:t>
      </w:r>
      <w:r w:rsidR="005D69A0" w:rsidRPr="006B32AC">
        <w:rPr>
          <w:rFonts w:cstheme="minorHAnsi"/>
          <w:sz w:val="24"/>
          <w:szCs w:val="24"/>
        </w:rPr>
        <w:t xml:space="preserve"> IV</w:t>
      </w:r>
      <w:r w:rsidRPr="006B32AC">
        <w:rPr>
          <w:rFonts w:cstheme="minorHAnsi"/>
          <w:sz w:val="24"/>
          <w:szCs w:val="24"/>
        </w:rPr>
        <w:t xml:space="preserve"> administrations</w:t>
      </w:r>
      <w:r w:rsidR="005D69A0" w:rsidRPr="006B32AC">
        <w:rPr>
          <w:rFonts w:cstheme="minorHAnsi"/>
          <w:sz w:val="24"/>
          <w:szCs w:val="24"/>
        </w:rPr>
        <w:t xml:space="preserve"> of NM agents</w:t>
      </w:r>
      <w:r w:rsidRPr="006B32AC">
        <w:rPr>
          <w:rFonts w:cstheme="minorHAnsi"/>
          <w:sz w:val="24"/>
          <w:szCs w:val="24"/>
        </w:rPr>
        <w:t>. The bill would override ongoing NRC rulemaking and institution</w:t>
      </w:r>
      <w:r w:rsidR="009F4414" w:rsidRPr="006B32AC">
        <w:rPr>
          <w:rFonts w:cstheme="minorHAnsi"/>
          <w:sz w:val="24"/>
          <w:szCs w:val="24"/>
        </w:rPr>
        <w:t>-level</w:t>
      </w:r>
      <w:r w:rsidRPr="006B32AC">
        <w:rPr>
          <w:rFonts w:cstheme="minorHAnsi"/>
          <w:sz w:val="24"/>
          <w:szCs w:val="24"/>
        </w:rPr>
        <w:t xml:space="preserve"> quality programs, effectively forcing adoption of </w:t>
      </w:r>
      <w:r w:rsidR="00D36B70" w:rsidRPr="006B32AC">
        <w:rPr>
          <w:rFonts w:cstheme="minorHAnsi"/>
          <w:sz w:val="24"/>
          <w:szCs w:val="24"/>
        </w:rPr>
        <w:t xml:space="preserve">unique </w:t>
      </w:r>
      <w:r w:rsidRPr="006B32AC">
        <w:rPr>
          <w:rFonts w:cstheme="minorHAnsi"/>
          <w:sz w:val="24"/>
          <w:szCs w:val="24"/>
        </w:rPr>
        <w:t>monitoring devices</w:t>
      </w:r>
      <w:r w:rsidR="00802DC8" w:rsidRPr="006B32AC">
        <w:rPr>
          <w:rFonts w:cstheme="minorHAnsi"/>
          <w:sz w:val="24"/>
          <w:szCs w:val="24"/>
        </w:rPr>
        <w:t xml:space="preserve"> for compliance</w:t>
      </w:r>
      <w:r w:rsidRPr="006B32AC">
        <w:rPr>
          <w:rFonts w:cstheme="minorHAnsi"/>
          <w:sz w:val="24"/>
          <w:szCs w:val="24"/>
        </w:rPr>
        <w:t xml:space="preserve">. </w:t>
      </w:r>
      <w:r w:rsidR="00802DC8" w:rsidRPr="006B32AC">
        <w:rPr>
          <w:rFonts w:cstheme="minorHAnsi"/>
          <w:sz w:val="24"/>
          <w:szCs w:val="24"/>
        </w:rPr>
        <w:t>Those methods would</w:t>
      </w:r>
      <w:r w:rsidRPr="006B32AC">
        <w:rPr>
          <w:rFonts w:cstheme="minorHAnsi"/>
          <w:sz w:val="24"/>
          <w:szCs w:val="24"/>
        </w:rPr>
        <w:t xml:space="preserve"> conflict with accepted standards of care and medical physics, offer no proven radiation safety benefit</w:t>
      </w:r>
      <w:r w:rsidR="00A30933" w:rsidRPr="006B32AC">
        <w:rPr>
          <w:rFonts w:cstheme="minorHAnsi"/>
          <w:sz w:val="24"/>
          <w:szCs w:val="24"/>
        </w:rPr>
        <w:t xml:space="preserve">, </w:t>
      </w:r>
      <w:r w:rsidRPr="006B32AC">
        <w:rPr>
          <w:rFonts w:cstheme="minorHAnsi"/>
          <w:sz w:val="24"/>
          <w:szCs w:val="24"/>
        </w:rPr>
        <w:t xml:space="preserve">and </w:t>
      </w:r>
      <w:r w:rsidR="00A30933" w:rsidRPr="006B32AC">
        <w:rPr>
          <w:rFonts w:cstheme="minorHAnsi"/>
          <w:sz w:val="24"/>
          <w:szCs w:val="24"/>
        </w:rPr>
        <w:t xml:space="preserve">would </w:t>
      </w:r>
      <w:r w:rsidRPr="006B32AC">
        <w:rPr>
          <w:rFonts w:cstheme="minorHAnsi"/>
          <w:sz w:val="24"/>
          <w:szCs w:val="24"/>
        </w:rPr>
        <w:t>impose significant administrative burdens. The NRC estimates implementation and compliance would cost providers and regulators more than $6.4 billion, threatening timely patient access to essential NM services.</w:t>
      </w:r>
    </w:p>
    <w:p w14:paraId="32277535" w14:textId="39A09101" w:rsidR="00C67728" w:rsidRPr="006B32AC" w:rsidRDefault="00614629" w:rsidP="00614629">
      <w:pPr>
        <w:rPr>
          <w:rFonts w:cstheme="minorHAnsi"/>
          <w:sz w:val="24"/>
          <w:szCs w:val="24"/>
        </w:rPr>
      </w:pPr>
      <w:r w:rsidRPr="006B32AC">
        <w:rPr>
          <w:rFonts w:cstheme="minorHAnsi"/>
          <w:sz w:val="24"/>
          <w:szCs w:val="24"/>
          <w:u w:val="single"/>
        </w:rPr>
        <w:t>ACR Position:</w:t>
      </w:r>
      <w:r w:rsidRPr="006B32AC">
        <w:rPr>
          <w:rFonts w:cstheme="minorHAnsi"/>
          <w:i/>
          <w:iCs/>
          <w:sz w:val="24"/>
          <w:szCs w:val="24"/>
        </w:rPr>
        <w:t xml:space="preserve"> </w:t>
      </w:r>
      <w:r w:rsidRPr="006B32AC">
        <w:rPr>
          <w:rFonts w:cstheme="minorHAnsi"/>
          <w:sz w:val="24"/>
          <w:szCs w:val="24"/>
        </w:rPr>
        <w:t>Oppose</w:t>
      </w:r>
    </w:p>
    <w:p w14:paraId="226E2B02" w14:textId="0FD1CF07" w:rsidR="00062D45" w:rsidRPr="006B32AC" w:rsidRDefault="00062D45" w:rsidP="00062D45">
      <w:pPr>
        <w:rPr>
          <w:rFonts w:cstheme="minorHAnsi"/>
          <w:b/>
          <w:bCs/>
          <w:sz w:val="24"/>
          <w:szCs w:val="24"/>
        </w:rPr>
      </w:pPr>
      <w:r w:rsidRPr="006B32AC">
        <w:rPr>
          <w:rFonts w:cstheme="minorHAnsi"/>
          <w:b/>
          <w:bCs/>
          <w:sz w:val="24"/>
          <w:szCs w:val="24"/>
        </w:rPr>
        <w:t>ROCR Value Based Program Act (S.1031</w:t>
      </w:r>
      <w:r w:rsidR="00224F28" w:rsidRPr="006B32AC">
        <w:rPr>
          <w:rFonts w:cstheme="minorHAnsi"/>
          <w:b/>
          <w:bCs/>
          <w:sz w:val="24"/>
          <w:szCs w:val="24"/>
        </w:rPr>
        <w:t>/ H.R. 2120</w:t>
      </w:r>
      <w:r w:rsidRPr="006B32AC">
        <w:rPr>
          <w:rFonts w:cstheme="minorHAnsi"/>
          <w:b/>
          <w:bCs/>
          <w:sz w:val="24"/>
          <w:szCs w:val="24"/>
        </w:rPr>
        <w:t>)</w:t>
      </w:r>
    </w:p>
    <w:p w14:paraId="7774B993" w14:textId="77777777" w:rsidR="00062D45" w:rsidRPr="006B32AC" w:rsidRDefault="00062D45" w:rsidP="00062D45">
      <w:pPr>
        <w:rPr>
          <w:rFonts w:cstheme="minorHAnsi"/>
          <w:sz w:val="24"/>
          <w:szCs w:val="24"/>
        </w:rPr>
      </w:pPr>
      <w:r w:rsidRPr="006B32AC">
        <w:rPr>
          <w:rFonts w:cstheme="minorHAnsi"/>
          <w:sz w:val="24"/>
          <w:szCs w:val="24"/>
        </w:rPr>
        <w:t>The Radiation Oncology Case Rate (ROCR) Value Based Payment Program Act (S.1031 / H.R.2120) was reintroduced by Sen. Thom Tillis (R-NC), Sen. Gary Peters (D-MI), Rep. Brian Fitzpatrick (R-PA), Rep. Jimmy Panetta (D-CA), Rep. John Joyce, MD (R-PA) and Rep. Paul Tonko (D-NY) in March 2025.</w:t>
      </w:r>
    </w:p>
    <w:p w14:paraId="5400320A" w14:textId="4C52BA77" w:rsidR="00062D45" w:rsidRPr="006B32AC" w:rsidRDefault="00062D45" w:rsidP="00062D45">
      <w:pPr>
        <w:rPr>
          <w:rFonts w:cstheme="minorHAnsi"/>
          <w:sz w:val="24"/>
          <w:szCs w:val="24"/>
        </w:rPr>
      </w:pPr>
      <w:r w:rsidRPr="006B32AC">
        <w:rPr>
          <w:rFonts w:cstheme="minorHAnsi"/>
          <w:sz w:val="24"/>
          <w:szCs w:val="24"/>
        </w:rPr>
        <w:t>ROCR would change radiation oncology payment from per fraction to per patient and encourage stable payments, higher quality care and reduced disparities. ROCR uses a more simplified approach than the CMS RO model and unifies payment that levels the playing field across care delivery settings.</w:t>
      </w:r>
    </w:p>
    <w:p w14:paraId="54B3F039" w14:textId="50B09AA2" w:rsidR="00F8353D" w:rsidRPr="006B32AC" w:rsidRDefault="00062D45" w:rsidP="009D2F93">
      <w:pPr>
        <w:rPr>
          <w:rFonts w:cstheme="minorHAnsi"/>
          <w:sz w:val="24"/>
          <w:szCs w:val="24"/>
        </w:rPr>
      </w:pPr>
      <w:r w:rsidRPr="006B32AC">
        <w:rPr>
          <w:rFonts w:cstheme="minorHAnsi"/>
          <w:sz w:val="24"/>
          <w:szCs w:val="24"/>
          <w:u w:val="single"/>
        </w:rPr>
        <w:t>ACR Position</w:t>
      </w:r>
      <w:r w:rsidRPr="006B32AC">
        <w:rPr>
          <w:rFonts w:cstheme="minorHAnsi"/>
          <w:sz w:val="24"/>
          <w:szCs w:val="24"/>
        </w:rPr>
        <w:t xml:space="preserve">: Support </w:t>
      </w:r>
    </w:p>
    <w:p w14:paraId="60537500" w14:textId="2941A0F6" w:rsidR="00A008A0" w:rsidRPr="006B32AC" w:rsidRDefault="00A008A0" w:rsidP="002D279F">
      <w:pPr>
        <w:pStyle w:val="NormalWeb"/>
        <w:rPr>
          <w:rFonts w:asciiTheme="minorHAnsi" w:hAnsiTheme="minorHAnsi" w:cstheme="minorHAnsi"/>
          <w:b/>
          <w:bCs/>
          <w:color w:val="000000"/>
        </w:rPr>
      </w:pPr>
      <w:r w:rsidRPr="006B32AC">
        <w:rPr>
          <w:rFonts w:asciiTheme="minorHAnsi" w:hAnsiTheme="minorHAnsi" w:cstheme="minorHAnsi"/>
          <w:b/>
          <w:bCs/>
          <w:color w:val="000000"/>
        </w:rPr>
        <w:t>Workforce</w:t>
      </w:r>
    </w:p>
    <w:p w14:paraId="123B6957" w14:textId="77777777" w:rsidR="00EF6E4D" w:rsidRPr="006B32AC" w:rsidRDefault="00EF6E4D" w:rsidP="00EF6E4D">
      <w:pPr>
        <w:pStyle w:val="NormalWeb"/>
        <w:rPr>
          <w:rFonts w:asciiTheme="minorHAnsi" w:hAnsiTheme="minorHAnsi" w:cstheme="minorHAnsi"/>
          <w:b/>
          <w:bCs/>
          <w:color w:val="000000"/>
        </w:rPr>
      </w:pPr>
      <w:r w:rsidRPr="006B32AC">
        <w:rPr>
          <w:rFonts w:asciiTheme="minorHAnsi" w:hAnsiTheme="minorHAnsi" w:cstheme="minorHAnsi"/>
          <w:b/>
          <w:bCs/>
          <w:color w:val="000000"/>
        </w:rPr>
        <w:t>Resident Physician Shortage Reduction Act of 2025 (H.R. 4731, S. 2439)</w:t>
      </w:r>
    </w:p>
    <w:p w14:paraId="3AB88A69" w14:textId="77777777" w:rsidR="00335E07" w:rsidRPr="006B32AC" w:rsidRDefault="00EF6E4D" w:rsidP="00EF6E4D">
      <w:pPr>
        <w:pStyle w:val="NormalWeb"/>
        <w:rPr>
          <w:rFonts w:asciiTheme="minorHAnsi" w:hAnsiTheme="minorHAnsi" w:cstheme="minorHAnsi"/>
          <w:color w:val="000000"/>
        </w:rPr>
      </w:pPr>
      <w:r w:rsidRPr="006B32AC">
        <w:rPr>
          <w:rFonts w:asciiTheme="minorHAnsi" w:hAnsiTheme="minorHAnsi" w:cstheme="minorHAnsi"/>
          <w:color w:val="000000"/>
        </w:rPr>
        <w:t>This legislation would increase the number of Medicare-supported graduate medical education (GME) slots by 14,000 over seven years</w:t>
      </w:r>
      <w:r w:rsidR="00335E07" w:rsidRPr="006B32AC">
        <w:rPr>
          <w:rFonts w:asciiTheme="minorHAnsi" w:hAnsiTheme="minorHAnsi" w:cstheme="minorHAnsi"/>
          <w:color w:val="000000"/>
        </w:rPr>
        <w:t>.</w:t>
      </w:r>
      <w:r w:rsidR="00335E07" w:rsidRPr="006B32AC">
        <w:rPr>
          <w:rFonts w:asciiTheme="minorHAnsi" w:hAnsiTheme="minorHAnsi" w:cstheme="minorHAnsi"/>
          <w:b/>
          <w:bCs/>
          <w:color w:val="000000"/>
        </w:rPr>
        <w:t xml:space="preserve"> </w:t>
      </w:r>
      <w:r w:rsidR="00335E07" w:rsidRPr="006B32AC">
        <w:rPr>
          <w:rFonts w:asciiTheme="minorHAnsi" w:hAnsiTheme="minorHAnsi" w:cstheme="minorHAnsi"/>
          <w:color w:val="000000"/>
        </w:rPr>
        <w:t>The s</w:t>
      </w:r>
      <w:r w:rsidRPr="006B32AC">
        <w:rPr>
          <w:rFonts w:asciiTheme="minorHAnsi" w:hAnsiTheme="minorHAnsi" w:cstheme="minorHAnsi"/>
          <w:color w:val="000000"/>
        </w:rPr>
        <w:t>lots</w:t>
      </w:r>
      <w:r w:rsidR="00335E07" w:rsidRPr="006B32AC">
        <w:rPr>
          <w:rFonts w:asciiTheme="minorHAnsi" w:hAnsiTheme="minorHAnsi" w:cstheme="minorHAnsi"/>
          <w:color w:val="000000"/>
        </w:rPr>
        <w:t xml:space="preserve"> would</w:t>
      </w:r>
      <w:r w:rsidRPr="006B32AC">
        <w:rPr>
          <w:rFonts w:asciiTheme="minorHAnsi" w:hAnsiTheme="minorHAnsi" w:cstheme="minorHAnsi"/>
          <w:color w:val="000000"/>
        </w:rPr>
        <w:t xml:space="preserve"> </w:t>
      </w:r>
      <w:proofErr w:type="gramStart"/>
      <w:r w:rsidRPr="006B32AC">
        <w:rPr>
          <w:rFonts w:asciiTheme="minorHAnsi" w:hAnsiTheme="minorHAnsi" w:cstheme="minorHAnsi"/>
          <w:color w:val="000000"/>
        </w:rPr>
        <w:t>be distributed</w:t>
      </w:r>
      <w:proofErr w:type="gramEnd"/>
      <w:r w:rsidRPr="006B32AC">
        <w:rPr>
          <w:rFonts w:asciiTheme="minorHAnsi" w:hAnsiTheme="minorHAnsi" w:cstheme="minorHAnsi"/>
          <w:color w:val="000000"/>
        </w:rPr>
        <w:t xml:space="preserve"> to hospitals with 10% to each of the following categories: rural areas, those training over their GME cap, in states with new medical schools or branch campuses, and health professional shortage areas (HPSAs), with priority to hospitals affiliated with historically Black medical schools</w:t>
      </w:r>
      <w:r w:rsidR="00335E07" w:rsidRPr="006B32AC">
        <w:rPr>
          <w:rFonts w:asciiTheme="minorHAnsi" w:hAnsiTheme="minorHAnsi" w:cstheme="minorHAnsi"/>
          <w:color w:val="000000"/>
        </w:rPr>
        <w:t>.</w:t>
      </w:r>
    </w:p>
    <w:p w14:paraId="370A5B60" w14:textId="5BB643A7" w:rsidR="00263C47" w:rsidRPr="006B32AC" w:rsidRDefault="00263C47" w:rsidP="00EF6E4D">
      <w:pPr>
        <w:pStyle w:val="NormalWeb"/>
        <w:rPr>
          <w:rFonts w:asciiTheme="minorHAnsi" w:hAnsiTheme="minorHAnsi" w:cstheme="minorHAnsi"/>
          <w:color w:val="000000"/>
        </w:rPr>
      </w:pPr>
      <w:r w:rsidRPr="006B32AC">
        <w:rPr>
          <w:rFonts w:asciiTheme="minorHAnsi" w:hAnsiTheme="minorHAnsi" w:cstheme="minorHAnsi"/>
          <w:color w:val="000000"/>
          <w:u w:val="single"/>
        </w:rPr>
        <w:t xml:space="preserve">Position: </w:t>
      </w:r>
      <w:r w:rsidRPr="006B32AC">
        <w:rPr>
          <w:rFonts w:asciiTheme="minorHAnsi" w:hAnsiTheme="minorHAnsi" w:cstheme="minorHAnsi"/>
          <w:color w:val="000000"/>
        </w:rPr>
        <w:t>Support</w:t>
      </w:r>
    </w:p>
    <w:p w14:paraId="7B1257B4" w14:textId="11ECC0D9" w:rsidR="00EF6E4D" w:rsidRPr="006B32AC" w:rsidRDefault="00335E07" w:rsidP="00EF6E4D">
      <w:pPr>
        <w:pStyle w:val="NormalWeb"/>
        <w:rPr>
          <w:rFonts w:asciiTheme="minorHAnsi" w:hAnsiTheme="minorHAnsi" w:cstheme="minorHAnsi"/>
          <w:b/>
          <w:bCs/>
          <w:color w:val="000000"/>
        </w:rPr>
      </w:pPr>
      <w:r w:rsidRPr="006B32AC">
        <w:rPr>
          <w:rFonts w:asciiTheme="minorHAnsi" w:hAnsiTheme="minorHAnsi" w:cstheme="minorHAnsi"/>
          <w:b/>
          <w:bCs/>
          <w:color w:val="000000"/>
        </w:rPr>
        <w:lastRenderedPageBreak/>
        <w:t>Co</w:t>
      </w:r>
      <w:r w:rsidR="00EF6E4D" w:rsidRPr="006B32AC">
        <w:rPr>
          <w:rFonts w:asciiTheme="minorHAnsi" w:hAnsiTheme="minorHAnsi" w:cstheme="minorHAnsi"/>
          <w:b/>
          <w:bCs/>
          <w:color w:val="000000"/>
        </w:rPr>
        <w:t>nrad State 30 and Physician Access Reauthorization Act (H.R. 1585, S. 709)</w:t>
      </w:r>
    </w:p>
    <w:p w14:paraId="47FA3E2D" w14:textId="25D0074A" w:rsidR="00A008A0" w:rsidRPr="006B32AC" w:rsidRDefault="00C3438D" w:rsidP="00EF6E4D">
      <w:pPr>
        <w:pStyle w:val="NormalWeb"/>
        <w:rPr>
          <w:rFonts w:asciiTheme="minorHAnsi" w:hAnsiTheme="minorHAnsi" w:cstheme="minorHAnsi"/>
          <w:color w:val="000000"/>
        </w:rPr>
      </w:pPr>
      <w:r w:rsidRPr="006B32AC">
        <w:rPr>
          <w:rFonts w:asciiTheme="minorHAnsi" w:hAnsiTheme="minorHAnsi" w:cstheme="minorHAnsi"/>
          <w:color w:val="000000"/>
        </w:rPr>
        <w:t xml:space="preserve">The Conrad 30 program </w:t>
      </w:r>
      <w:proofErr w:type="gramStart"/>
      <w:r w:rsidRPr="006B32AC">
        <w:rPr>
          <w:rFonts w:asciiTheme="minorHAnsi" w:hAnsiTheme="minorHAnsi" w:cstheme="minorHAnsi"/>
          <w:color w:val="000000"/>
        </w:rPr>
        <w:t>was c</w:t>
      </w:r>
      <w:r w:rsidR="00EF6E4D" w:rsidRPr="006B32AC">
        <w:rPr>
          <w:rFonts w:asciiTheme="minorHAnsi" w:hAnsiTheme="minorHAnsi" w:cstheme="minorHAnsi"/>
          <w:color w:val="000000"/>
        </w:rPr>
        <w:t>reated</w:t>
      </w:r>
      <w:proofErr w:type="gramEnd"/>
      <w:r w:rsidR="00EF6E4D" w:rsidRPr="006B32AC">
        <w:rPr>
          <w:rFonts w:asciiTheme="minorHAnsi" w:hAnsiTheme="minorHAnsi" w:cstheme="minorHAnsi"/>
          <w:color w:val="000000"/>
        </w:rPr>
        <w:t xml:space="preserve"> in 1994 to give states the ability to waive the requirement that foreign medical graduates must return to their home country for two years after they complete their residency training in the U.S.</w:t>
      </w:r>
      <w:r w:rsidR="004C3DA8" w:rsidRPr="006B32AC">
        <w:rPr>
          <w:rFonts w:asciiTheme="minorHAnsi" w:hAnsiTheme="minorHAnsi" w:cstheme="minorHAnsi"/>
          <w:color w:val="000000"/>
        </w:rPr>
        <w:t xml:space="preserve"> </w:t>
      </w:r>
      <w:r w:rsidR="00EF6E4D" w:rsidRPr="006B32AC">
        <w:rPr>
          <w:rFonts w:asciiTheme="minorHAnsi" w:hAnsiTheme="minorHAnsi" w:cstheme="minorHAnsi"/>
          <w:color w:val="000000"/>
        </w:rPr>
        <w:t>To qualify, physicians must agree to practice in medically underserved area for at least three years</w:t>
      </w:r>
      <w:r w:rsidR="004C3DA8" w:rsidRPr="006B32AC">
        <w:rPr>
          <w:rFonts w:asciiTheme="minorHAnsi" w:hAnsiTheme="minorHAnsi" w:cstheme="minorHAnsi"/>
          <w:color w:val="000000"/>
        </w:rPr>
        <w:t>. This legislation w</w:t>
      </w:r>
      <w:r w:rsidR="00EF6E4D" w:rsidRPr="006B32AC">
        <w:rPr>
          <w:rFonts w:asciiTheme="minorHAnsi" w:hAnsiTheme="minorHAnsi" w:cstheme="minorHAnsi"/>
          <w:color w:val="000000"/>
        </w:rPr>
        <w:t xml:space="preserve">ould extend authorization of the program for three years and create a process to gradually increase the number of waivers beyond </w:t>
      </w:r>
      <w:proofErr w:type="gramStart"/>
      <w:r w:rsidR="00EF6E4D" w:rsidRPr="006B32AC">
        <w:rPr>
          <w:rFonts w:asciiTheme="minorHAnsi" w:hAnsiTheme="minorHAnsi" w:cstheme="minorHAnsi"/>
          <w:color w:val="000000"/>
        </w:rPr>
        <w:t>30</w:t>
      </w:r>
      <w:proofErr w:type="gramEnd"/>
      <w:r w:rsidR="00EF6E4D" w:rsidRPr="006B32AC">
        <w:rPr>
          <w:rFonts w:asciiTheme="minorHAnsi" w:hAnsiTheme="minorHAnsi" w:cstheme="minorHAnsi"/>
          <w:color w:val="000000"/>
        </w:rPr>
        <w:t xml:space="preserve"> per state</w:t>
      </w:r>
      <w:r w:rsidR="004C3DA8" w:rsidRPr="006B32AC">
        <w:rPr>
          <w:rFonts w:asciiTheme="minorHAnsi" w:hAnsiTheme="minorHAnsi" w:cstheme="minorHAnsi"/>
          <w:color w:val="000000"/>
        </w:rPr>
        <w:t>.</w:t>
      </w:r>
    </w:p>
    <w:p w14:paraId="5E7C43A2" w14:textId="7DD6D942" w:rsidR="00B20778" w:rsidRPr="006B32AC" w:rsidRDefault="00B20778" w:rsidP="00EF6E4D">
      <w:pPr>
        <w:pStyle w:val="NormalWeb"/>
        <w:rPr>
          <w:rFonts w:asciiTheme="minorHAnsi" w:hAnsiTheme="minorHAnsi" w:cstheme="minorHAnsi"/>
          <w:color w:val="000000"/>
        </w:rPr>
      </w:pPr>
      <w:r w:rsidRPr="006B32AC">
        <w:rPr>
          <w:rFonts w:asciiTheme="minorHAnsi" w:hAnsiTheme="minorHAnsi" w:cstheme="minorHAnsi"/>
          <w:color w:val="000000"/>
          <w:u w:val="single"/>
        </w:rPr>
        <w:t>Position</w:t>
      </w:r>
      <w:r w:rsidRPr="006B32AC">
        <w:rPr>
          <w:rFonts w:asciiTheme="minorHAnsi" w:hAnsiTheme="minorHAnsi" w:cstheme="minorHAnsi"/>
          <w:color w:val="000000"/>
        </w:rPr>
        <w:t>: Support</w:t>
      </w:r>
    </w:p>
    <w:p w14:paraId="5776A78C" w14:textId="603D82D1" w:rsidR="003B4397" w:rsidRPr="006B32AC" w:rsidRDefault="003B4397" w:rsidP="009D2F93">
      <w:pPr>
        <w:rPr>
          <w:rFonts w:cstheme="minorHAnsi"/>
          <w:b/>
          <w:bCs/>
          <w:sz w:val="24"/>
          <w:szCs w:val="24"/>
        </w:rPr>
      </w:pPr>
      <w:r w:rsidRPr="006B32AC">
        <w:rPr>
          <w:rFonts w:cstheme="minorHAnsi"/>
          <w:b/>
          <w:bCs/>
          <w:sz w:val="24"/>
          <w:szCs w:val="24"/>
        </w:rPr>
        <w:t>Specialty Physicians Advancing Rural Care (SPARC) Act (S. 1380/ H.R. 4681)</w:t>
      </w:r>
    </w:p>
    <w:p w14:paraId="5A8C6E3F" w14:textId="5426078B" w:rsidR="00213309" w:rsidRPr="006B32AC" w:rsidRDefault="003B4397" w:rsidP="009D2F93">
      <w:pPr>
        <w:rPr>
          <w:rFonts w:cstheme="minorHAnsi"/>
          <w:sz w:val="24"/>
          <w:szCs w:val="24"/>
        </w:rPr>
      </w:pPr>
      <w:r w:rsidRPr="006B32AC">
        <w:rPr>
          <w:rFonts w:cstheme="minorHAnsi"/>
          <w:sz w:val="24"/>
          <w:szCs w:val="24"/>
        </w:rPr>
        <w:t>This legislation would</w:t>
      </w:r>
      <w:r w:rsidR="00181326" w:rsidRPr="006B32AC">
        <w:rPr>
          <w:rFonts w:cstheme="minorHAnsi"/>
          <w:sz w:val="24"/>
          <w:szCs w:val="24"/>
        </w:rPr>
        <w:t xml:space="preserve"> address physician shortages by</w:t>
      </w:r>
      <w:r w:rsidRPr="006B32AC">
        <w:rPr>
          <w:rFonts w:cstheme="minorHAnsi"/>
          <w:sz w:val="24"/>
          <w:szCs w:val="24"/>
        </w:rPr>
        <w:t xml:space="preserve"> </w:t>
      </w:r>
      <w:r w:rsidR="003C0D1A" w:rsidRPr="006B32AC">
        <w:rPr>
          <w:rFonts w:cstheme="minorHAnsi"/>
          <w:sz w:val="24"/>
          <w:szCs w:val="24"/>
        </w:rPr>
        <w:t xml:space="preserve">incentivizing specialty physicians to practice in rural communities </w:t>
      </w:r>
      <w:r w:rsidR="006619D8" w:rsidRPr="006B32AC">
        <w:rPr>
          <w:rFonts w:cstheme="minorHAnsi"/>
          <w:sz w:val="24"/>
          <w:szCs w:val="24"/>
        </w:rPr>
        <w:t xml:space="preserve">through </w:t>
      </w:r>
      <w:r w:rsidRPr="006B32AC">
        <w:rPr>
          <w:rFonts w:cstheme="minorHAnsi"/>
          <w:sz w:val="24"/>
          <w:szCs w:val="24"/>
        </w:rPr>
        <w:t>a new loan repayment program</w:t>
      </w:r>
      <w:r w:rsidR="00EE0D4F" w:rsidRPr="006B32AC">
        <w:rPr>
          <w:rFonts w:cstheme="minorHAnsi"/>
          <w:sz w:val="24"/>
          <w:szCs w:val="24"/>
        </w:rPr>
        <w:t xml:space="preserve"> </w:t>
      </w:r>
      <w:r w:rsidR="006619D8" w:rsidRPr="006B32AC">
        <w:rPr>
          <w:rFonts w:cstheme="minorHAnsi"/>
          <w:sz w:val="24"/>
          <w:szCs w:val="24"/>
        </w:rPr>
        <w:t>under</w:t>
      </w:r>
      <w:r w:rsidR="00EE0D4F" w:rsidRPr="006B32AC">
        <w:rPr>
          <w:rFonts w:cstheme="minorHAnsi"/>
          <w:sz w:val="24"/>
          <w:szCs w:val="24"/>
        </w:rPr>
        <w:t xml:space="preserve"> the Health</w:t>
      </w:r>
      <w:r w:rsidR="003C0D1A" w:rsidRPr="006B32AC">
        <w:rPr>
          <w:rFonts w:cstheme="minorHAnsi"/>
          <w:sz w:val="24"/>
          <w:szCs w:val="24"/>
        </w:rPr>
        <w:t xml:space="preserve"> Resource Services Administration (HRSA)</w:t>
      </w:r>
      <w:r w:rsidR="00E82D5D" w:rsidRPr="006B32AC">
        <w:rPr>
          <w:rFonts w:cstheme="minorHAnsi"/>
          <w:sz w:val="24"/>
          <w:szCs w:val="24"/>
        </w:rPr>
        <w:t xml:space="preserve">— up to </w:t>
      </w:r>
      <w:r w:rsidR="00C15F00" w:rsidRPr="006B32AC">
        <w:rPr>
          <w:rFonts w:cstheme="minorHAnsi"/>
          <w:sz w:val="24"/>
          <w:szCs w:val="24"/>
        </w:rPr>
        <w:t>$250,000 over six years in exchange for service in rural communities</w:t>
      </w:r>
      <w:r w:rsidR="00971F40" w:rsidRPr="006B32AC">
        <w:rPr>
          <w:rFonts w:cstheme="minorHAnsi"/>
          <w:sz w:val="24"/>
          <w:szCs w:val="24"/>
        </w:rPr>
        <w:t xml:space="preserve">— expanding </w:t>
      </w:r>
      <w:r w:rsidRPr="006B32AC">
        <w:rPr>
          <w:rFonts w:cstheme="minorHAnsi"/>
          <w:sz w:val="24"/>
          <w:szCs w:val="24"/>
        </w:rPr>
        <w:t xml:space="preserve">access </w:t>
      </w:r>
      <w:r w:rsidR="00D709B4" w:rsidRPr="006B32AC">
        <w:rPr>
          <w:rFonts w:cstheme="minorHAnsi"/>
          <w:sz w:val="24"/>
          <w:szCs w:val="24"/>
        </w:rPr>
        <w:t>to care</w:t>
      </w:r>
      <w:r w:rsidRPr="006B32AC">
        <w:rPr>
          <w:rFonts w:cstheme="minorHAnsi"/>
          <w:sz w:val="24"/>
          <w:szCs w:val="24"/>
        </w:rPr>
        <w:t>.</w:t>
      </w:r>
      <w:r w:rsidR="00D709B4" w:rsidRPr="006B32AC">
        <w:rPr>
          <w:rFonts w:cstheme="minorHAnsi"/>
          <w:sz w:val="24"/>
          <w:szCs w:val="24"/>
        </w:rPr>
        <w:t xml:space="preserve"> </w:t>
      </w:r>
    </w:p>
    <w:p w14:paraId="34A85AAD" w14:textId="4AF33C7E" w:rsidR="00B20778" w:rsidRPr="006B32AC" w:rsidRDefault="00B20778" w:rsidP="009D2F93">
      <w:pPr>
        <w:rPr>
          <w:rFonts w:cstheme="minorHAnsi"/>
          <w:sz w:val="24"/>
          <w:szCs w:val="24"/>
        </w:rPr>
      </w:pPr>
      <w:r w:rsidRPr="006B32AC">
        <w:rPr>
          <w:rFonts w:cstheme="minorHAnsi"/>
          <w:sz w:val="24"/>
          <w:szCs w:val="24"/>
          <w:u w:val="single"/>
        </w:rPr>
        <w:t>Position</w:t>
      </w:r>
      <w:r w:rsidRPr="006B32AC">
        <w:rPr>
          <w:rFonts w:cstheme="minorHAnsi"/>
          <w:sz w:val="24"/>
          <w:szCs w:val="24"/>
        </w:rPr>
        <w:t>: Support</w:t>
      </w:r>
    </w:p>
    <w:p w14:paraId="1A520855" w14:textId="77777777" w:rsidR="003B4397" w:rsidRPr="006B32AC" w:rsidRDefault="003B4397" w:rsidP="003B4397">
      <w:pPr>
        <w:rPr>
          <w:rFonts w:cstheme="minorHAnsi"/>
          <w:b/>
          <w:bCs/>
          <w:sz w:val="24"/>
          <w:szCs w:val="24"/>
        </w:rPr>
      </w:pPr>
      <w:r w:rsidRPr="006B32AC">
        <w:rPr>
          <w:rFonts w:cstheme="minorHAnsi"/>
          <w:b/>
          <w:bCs/>
          <w:sz w:val="24"/>
          <w:szCs w:val="24"/>
        </w:rPr>
        <w:t>Health Care Workforce Resilience Act (H.R. 5283/S.2759)</w:t>
      </w:r>
    </w:p>
    <w:p w14:paraId="67417F7E" w14:textId="154F7C5C" w:rsidR="00ED50CE" w:rsidRPr="006B32AC" w:rsidRDefault="005D0E0C" w:rsidP="00DC0203">
      <w:pPr>
        <w:rPr>
          <w:rFonts w:cstheme="minorHAnsi"/>
          <w:sz w:val="24"/>
          <w:szCs w:val="24"/>
        </w:rPr>
      </w:pPr>
      <w:r w:rsidRPr="006B32AC">
        <w:rPr>
          <w:rFonts w:cstheme="minorHAnsi"/>
          <w:sz w:val="24"/>
          <w:szCs w:val="24"/>
        </w:rPr>
        <w:t xml:space="preserve">This legislation </w:t>
      </w:r>
      <w:r w:rsidR="00DC0203" w:rsidRPr="006B32AC">
        <w:rPr>
          <w:rFonts w:cstheme="minorHAnsi"/>
          <w:sz w:val="24"/>
          <w:szCs w:val="24"/>
        </w:rPr>
        <w:t>aims to address shortage</w:t>
      </w:r>
      <w:r w:rsidR="007905C8" w:rsidRPr="006B32AC">
        <w:rPr>
          <w:rFonts w:cstheme="minorHAnsi"/>
          <w:sz w:val="24"/>
          <w:szCs w:val="24"/>
        </w:rPr>
        <w:t>s</w:t>
      </w:r>
      <w:r w:rsidR="00DC0203" w:rsidRPr="006B32AC">
        <w:rPr>
          <w:rFonts w:cstheme="minorHAnsi"/>
          <w:sz w:val="24"/>
          <w:szCs w:val="24"/>
        </w:rPr>
        <w:t xml:space="preserve"> of </w:t>
      </w:r>
      <w:r w:rsidR="007905C8" w:rsidRPr="006B32AC">
        <w:rPr>
          <w:rFonts w:cstheme="minorHAnsi"/>
          <w:sz w:val="24"/>
          <w:szCs w:val="24"/>
        </w:rPr>
        <w:t>health care providers</w:t>
      </w:r>
      <w:r w:rsidR="00DC0203" w:rsidRPr="006B32AC">
        <w:rPr>
          <w:rFonts w:cstheme="minorHAnsi"/>
          <w:sz w:val="24"/>
          <w:szCs w:val="24"/>
        </w:rPr>
        <w:t xml:space="preserve"> by recapturing 15,000 unused immigrant visas for physicians and 25,000 unused immigrant visas for nurses that Congress previously authorized. </w:t>
      </w:r>
      <w:r w:rsidR="009E54A6" w:rsidRPr="006B32AC">
        <w:rPr>
          <w:rFonts w:cstheme="minorHAnsi"/>
          <w:sz w:val="24"/>
          <w:szCs w:val="24"/>
        </w:rPr>
        <w:t>Streamlining</w:t>
      </w:r>
      <w:r w:rsidR="00502DD2" w:rsidRPr="006B32AC">
        <w:rPr>
          <w:rFonts w:cstheme="minorHAnsi"/>
          <w:sz w:val="24"/>
          <w:szCs w:val="24"/>
        </w:rPr>
        <w:t xml:space="preserve"> </w:t>
      </w:r>
      <w:r w:rsidR="009E54A6" w:rsidRPr="006B32AC">
        <w:rPr>
          <w:rFonts w:cstheme="minorHAnsi"/>
          <w:sz w:val="24"/>
          <w:szCs w:val="24"/>
        </w:rPr>
        <w:t xml:space="preserve">the </w:t>
      </w:r>
      <w:r w:rsidR="00502DD2" w:rsidRPr="006B32AC">
        <w:rPr>
          <w:rFonts w:cstheme="minorHAnsi"/>
          <w:sz w:val="24"/>
          <w:szCs w:val="24"/>
        </w:rPr>
        <w:t>visa authorization</w:t>
      </w:r>
      <w:r w:rsidR="009E54A6" w:rsidRPr="006B32AC">
        <w:rPr>
          <w:rFonts w:cstheme="minorHAnsi"/>
          <w:sz w:val="24"/>
          <w:szCs w:val="24"/>
        </w:rPr>
        <w:t xml:space="preserve"> process </w:t>
      </w:r>
      <w:r w:rsidR="00263C47" w:rsidRPr="006B32AC">
        <w:rPr>
          <w:rFonts w:cstheme="minorHAnsi"/>
          <w:sz w:val="24"/>
          <w:szCs w:val="24"/>
        </w:rPr>
        <w:t>can help</w:t>
      </w:r>
      <w:r w:rsidR="009E54A6" w:rsidRPr="006B32AC">
        <w:rPr>
          <w:rFonts w:cstheme="minorHAnsi"/>
          <w:sz w:val="24"/>
          <w:szCs w:val="24"/>
        </w:rPr>
        <w:t xml:space="preserve"> increase access to care. </w:t>
      </w:r>
    </w:p>
    <w:p w14:paraId="4F7B591D" w14:textId="4FA1ADAE" w:rsidR="00263C47" w:rsidRPr="006B32AC" w:rsidRDefault="00263C47" w:rsidP="00DC0203">
      <w:pPr>
        <w:rPr>
          <w:rFonts w:cstheme="minorHAnsi"/>
          <w:sz w:val="24"/>
          <w:szCs w:val="24"/>
        </w:rPr>
      </w:pPr>
      <w:r w:rsidRPr="006B32AC">
        <w:rPr>
          <w:rFonts w:cstheme="minorHAnsi"/>
          <w:sz w:val="24"/>
          <w:szCs w:val="24"/>
          <w:u w:val="single"/>
        </w:rPr>
        <w:t>Position</w:t>
      </w:r>
      <w:r w:rsidRPr="006B32AC">
        <w:rPr>
          <w:rFonts w:cstheme="minorHAnsi"/>
          <w:sz w:val="24"/>
          <w:szCs w:val="24"/>
        </w:rPr>
        <w:t>: Support</w:t>
      </w:r>
    </w:p>
    <w:sectPr w:rsidR="00263C47" w:rsidRPr="006B32AC" w:rsidSect="0051619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A3FD" w14:textId="77777777" w:rsidR="00DE778C" w:rsidRDefault="00DE778C" w:rsidP="00A03919">
      <w:pPr>
        <w:spacing w:after="0" w:line="240" w:lineRule="auto"/>
      </w:pPr>
      <w:r>
        <w:separator/>
      </w:r>
    </w:p>
  </w:endnote>
  <w:endnote w:type="continuationSeparator" w:id="0">
    <w:p w14:paraId="7B67CDF2" w14:textId="77777777" w:rsidR="00DE778C" w:rsidRDefault="00DE778C" w:rsidP="00A0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9512" w14:textId="77777777" w:rsidR="00DE778C" w:rsidRDefault="00DE778C" w:rsidP="00A03919">
      <w:pPr>
        <w:spacing w:after="0" w:line="240" w:lineRule="auto"/>
      </w:pPr>
      <w:r>
        <w:separator/>
      </w:r>
    </w:p>
  </w:footnote>
  <w:footnote w:type="continuationSeparator" w:id="0">
    <w:p w14:paraId="70B10731" w14:textId="77777777" w:rsidR="00DE778C" w:rsidRDefault="00DE778C" w:rsidP="00A03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6B37" w14:textId="2554E403" w:rsidR="00A03919" w:rsidRDefault="00DE2A69" w:rsidP="00A03919">
    <w:pPr>
      <w:pStyle w:val="Header"/>
      <w:tabs>
        <w:tab w:val="clear" w:pos="4680"/>
        <w:tab w:val="clear" w:pos="9360"/>
        <w:tab w:val="left" w:pos="9330"/>
      </w:tabs>
    </w:pPr>
    <w:r>
      <w:rPr>
        <w:noProof/>
      </w:rPr>
      <w:drawing>
        <wp:anchor distT="0" distB="0" distL="114300" distR="114300" simplePos="0" relativeHeight="251659264" behindDoc="0" locked="0" layoutInCell="1" allowOverlap="1" wp14:anchorId="03EB0A20" wp14:editId="77A99168">
          <wp:simplePos x="0" y="0"/>
          <wp:positionH relativeFrom="margin">
            <wp:align>right</wp:align>
          </wp:positionH>
          <wp:positionV relativeFrom="paragraph">
            <wp:posOffset>219075</wp:posOffset>
          </wp:positionV>
          <wp:extent cx="1657350" cy="469265"/>
          <wp:effectExtent l="0" t="0" r="0" b="6985"/>
          <wp:wrapTopAndBottom/>
          <wp:docPr id="4" name="Picture 4" descr="Home | American College of Radiology">
            <a:extLst xmlns:a="http://schemas.openxmlformats.org/drawingml/2006/main">
              <a:ext uri="{FF2B5EF4-FFF2-40B4-BE49-F238E27FC236}">
                <a16:creationId xmlns:a16="http://schemas.microsoft.com/office/drawing/2014/main" id="{EF9312E2-2E7F-A658-052B-4E3B20A9E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ome | American College of Radiology">
                    <a:extLst>
                      <a:ext uri="{FF2B5EF4-FFF2-40B4-BE49-F238E27FC236}">
                        <a16:creationId xmlns:a16="http://schemas.microsoft.com/office/drawing/2014/main" id="{EF9312E2-2E7F-A658-052B-4E3B20A9E524}"/>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997" b="25009"/>
                  <a:stretch/>
                </pic:blipFill>
                <pic:spPr bwMode="auto">
                  <a:xfrm>
                    <a:off x="0" y="0"/>
                    <a:ext cx="1657350" cy="469265"/>
                  </a:xfrm>
                  <a:prstGeom prst="rect">
                    <a:avLst/>
                  </a:prstGeom>
                  <a:noFill/>
                </pic:spPr>
              </pic:pic>
            </a:graphicData>
          </a:graphic>
        </wp:anchor>
      </w:drawing>
    </w:r>
    <w:r w:rsidR="00A03919">
      <w:tab/>
    </w:r>
  </w:p>
  <w:p w14:paraId="705CF9C2" w14:textId="04AD7E54" w:rsidR="00A03919" w:rsidRDefault="00A03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AD2"/>
    <w:multiLevelType w:val="hybridMultilevel"/>
    <w:tmpl w:val="B6FC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C014E"/>
    <w:multiLevelType w:val="hybridMultilevel"/>
    <w:tmpl w:val="9E02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95523"/>
    <w:multiLevelType w:val="hybridMultilevel"/>
    <w:tmpl w:val="B756DDA8"/>
    <w:lvl w:ilvl="0" w:tplc="FB267E1A">
      <w:start w:val="1"/>
      <w:numFmt w:val="bullet"/>
      <w:lvlText w:val="•"/>
      <w:lvlJc w:val="left"/>
      <w:pPr>
        <w:tabs>
          <w:tab w:val="num" w:pos="720"/>
        </w:tabs>
        <w:ind w:left="720" w:hanging="360"/>
      </w:pPr>
      <w:rPr>
        <w:rFonts w:ascii="Arial" w:hAnsi="Arial" w:hint="default"/>
      </w:rPr>
    </w:lvl>
    <w:lvl w:ilvl="1" w:tplc="50C4C6FC">
      <w:numFmt w:val="bullet"/>
      <w:lvlText w:val="•"/>
      <w:lvlJc w:val="left"/>
      <w:pPr>
        <w:tabs>
          <w:tab w:val="num" w:pos="1440"/>
        </w:tabs>
        <w:ind w:left="1440" w:hanging="360"/>
      </w:pPr>
      <w:rPr>
        <w:rFonts w:ascii="Arial" w:hAnsi="Arial" w:hint="default"/>
      </w:rPr>
    </w:lvl>
    <w:lvl w:ilvl="2" w:tplc="3AF2E042" w:tentative="1">
      <w:start w:val="1"/>
      <w:numFmt w:val="bullet"/>
      <w:lvlText w:val="•"/>
      <w:lvlJc w:val="left"/>
      <w:pPr>
        <w:tabs>
          <w:tab w:val="num" w:pos="2160"/>
        </w:tabs>
        <w:ind w:left="2160" w:hanging="360"/>
      </w:pPr>
      <w:rPr>
        <w:rFonts w:ascii="Arial" w:hAnsi="Arial" w:hint="default"/>
      </w:rPr>
    </w:lvl>
    <w:lvl w:ilvl="3" w:tplc="E5E8AA50" w:tentative="1">
      <w:start w:val="1"/>
      <w:numFmt w:val="bullet"/>
      <w:lvlText w:val="•"/>
      <w:lvlJc w:val="left"/>
      <w:pPr>
        <w:tabs>
          <w:tab w:val="num" w:pos="2880"/>
        </w:tabs>
        <w:ind w:left="2880" w:hanging="360"/>
      </w:pPr>
      <w:rPr>
        <w:rFonts w:ascii="Arial" w:hAnsi="Arial" w:hint="default"/>
      </w:rPr>
    </w:lvl>
    <w:lvl w:ilvl="4" w:tplc="6DA26EBA" w:tentative="1">
      <w:start w:val="1"/>
      <w:numFmt w:val="bullet"/>
      <w:lvlText w:val="•"/>
      <w:lvlJc w:val="left"/>
      <w:pPr>
        <w:tabs>
          <w:tab w:val="num" w:pos="3600"/>
        </w:tabs>
        <w:ind w:left="3600" w:hanging="360"/>
      </w:pPr>
      <w:rPr>
        <w:rFonts w:ascii="Arial" w:hAnsi="Arial" w:hint="default"/>
      </w:rPr>
    </w:lvl>
    <w:lvl w:ilvl="5" w:tplc="46988C1E" w:tentative="1">
      <w:start w:val="1"/>
      <w:numFmt w:val="bullet"/>
      <w:lvlText w:val="•"/>
      <w:lvlJc w:val="left"/>
      <w:pPr>
        <w:tabs>
          <w:tab w:val="num" w:pos="4320"/>
        </w:tabs>
        <w:ind w:left="4320" w:hanging="360"/>
      </w:pPr>
      <w:rPr>
        <w:rFonts w:ascii="Arial" w:hAnsi="Arial" w:hint="default"/>
      </w:rPr>
    </w:lvl>
    <w:lvl w:ilvl="6" w:tplc="EAA0919A" w:tentative="1">
      <w:start w:val="1"/>
      <w:numFmt w:val="bullet"/>
      <w:lvlText w:val="•"/>
      <w:lvlJc w:val="left"/>
      <w:pPr>
        <w:tabs>
          <w:tab w:val="num" w:pos="5040"/>
        </w:tabs>
        <w:ind w:left="5040" w:hanging="360"/>
      </w:pPr>
      <w:rPr>
        <w:rFonts w:ascii="Arial" w:hAnsi="Arial" w:hint="default"/>
      </w:rPr>
    </w:lvl>
    <w:lvl w:ilvl="7" w:tplc="5E8A2D7C" w:tentative="1">
      <w:start w:val="1"/>
      <w:numFmt w:val="bullet"/>
      <w:lvlText w:val="•"/>
      <w:lvlJc w:val="left"/>
      <w:pPr>
        <w:tabs>
          <w:tab w:val="num" w:pos="5760"/>
        </w:tabs>
        <w:ind w:left="5760" w:hanging="360"/>
      </w:pPr>
      <w:rPr>
        <w:rFonts w:ascii="Arial" w:hAnsi="Arial" w:hint="default"/>
      </w:rPr>
    </w:lvl>
    <w:lvl w:ilvl="8" w:tplc="4F1AFB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9B3169"/>
    <w:multiLevelType w:val="hybridMultilevel"/>
    <w:tmpl w:val="8E3AC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1B66EC"/>
    <w:multiLevelType w:val="hybridMultilevel"/>
    <w:tmpl w:val="80C4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E739E"/>
    <w:multiLevelType w:val="hybridMultilevel"/>
    <w:tmpl w:val="BA06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071577"/>
    <w:multiLevelType w:val="hybridMultilevel"/>
    <w:tmpl w:val="ABCC27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B224A"/>
    <w:multiLevelType w:val="hybridMultilevel"/>
    <w:tmpl w:val="386C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72B8E"/>
    <w:multiLevelType w:val="hybridMultilevel"/>
    <w:tmpl w:val="423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A726FB"/>
    <w:multiLevelType w:val="hybridMultilevel"/>
    <w:tmpl w:val="61B82926"/>
    <w:lvl w:ilvl="0" w:tplc="E0DA8A80">
      <w:start w:val="1"/>
      <w:numFmt w:val="bullet"/>
      <w:lvlText w:val="•"/>
      <w:lvlJc w:val="left"/>
      <w:pPr>
        <w:tabs>
          <w:tab w:val="num" w:pos="720"/>
        </w:tabs>
        <w:ind w:left="720" w:hanging="360"/>
      </w:pPr>
      <w:rPr>
        <w:rFonts w:ascii="Arial" w:hAnsi="Arial" w:hint="default"/>
      </w:rPr>
    </w:lvl>
    <w:lvl w:ilvl="1" w:tplc="C0228A8A">
      <w:numFmt w:val="bullet"/>
      <w:lvlText w:val="•"/>
      <w:lvlJc w:val="left"/>
      <w:pPr>
        <w:tabs>
          <w:tab w:val="num" w:pos="1440"/>
        </w:tabs>
        <w:ind w:left="1440" w:hanging="360"/>
      </w:pPr>
      <w:rPr>
        <w:rFonts w:ascii="Arial" w:hAnsi="Arial" w:hint="default"/>
      </w:rPr>
    </w:lvl>
    <w:lvl w:ilvl="2" w:tplc="33A6AF40" w:tentative="1">
      <w:start w:val="1"/>
      <w:numFmt w:val="bullet"/>
      <w:lvlText w:val="•"/>
      <w:lvlJc w:val="left"/>
      <w:pPr>
        <w:tabs>
          <w:tab w:val="num" w:pos="2160"/>
        </w:tabs>
        <w:ind w:left="2160" w:hanging="360"/>
      </w:pPr>
      <w:rPr>
        <w:rFonts w:ascii="Arial" w:hAnsi="Arial" w:hint="default"/>
      </w:rPr>
    </w:lvl>
    <w:lvl w:ilvl="3" w:tplc="99EEEA1A" w:tentative="1">
      <w:start w:val="1"/>
      <w:numFmt w:val="bullet"/>
      <w:lvlText w:val="•"/>
      <w:lvlJc w:val="left"/>
      <w:pPr>
        <w:tabs>
          <w:tab w:val="num" w:pos="2880"/>
        </w:tabs>
        <w:ind w:left="2880" w:hanging="360"/>
      </w:pPr>
      <w:rPr>
        <w:rFonts w:ascii="Arial" w:hAnsi="Arial" w:hint="default"/>
      </w:rPr>
    </w:lvl>
    <w:lvl w:ilvl="4" w:tplc="AFBE7DBA" w:tentative="1">
      <w:start w:val="1"/>
      <w:numFmt w:val="bullet"/>
      <w:lvlText w:val="•"/>
      <w:lvlJc w:val="left"/>
      <w:pPr>
        <w:tabs>
          <w:tab w:val="num" w:pos="3600"/>
        </w:tabs>
        <w:ind w:left="3600" w:hanging="360"/>
      </w:pPr>
      <w:rPr>
        <w:rFonts w:ascii="Arial" w:hAnsi="Arial" w:hint="default"/>
      </w:rPr>
    </w:lvl>
    <w:lvl w:ilvl="5" w:tplc="C93C8AC4" w:tentative="1">
      <w:start w:val="1"/>
      <w:numFmt w:val="bullet"/>
      <w:lvlText w:val="•"/>
      <w:lvlJc w:val="left"/>
      <w:pPr>
        <w:tabs>
          <w:tab w:val="num" w:pos="4320"/>
        </w:tabs>
        <w:ind w:left="4320" w:hanging="360"/>
      </w:pPr>
      <w:rPr>
        <w:rFonts w:ascii="Arial" w:hAnsi="Arial" w:hint="default"/>
      </w:rPr>
    </w:lvl>
    <w:lvl w:ilvl="6" w:tplc="16F6251E" w:tentative="1">
      <w:start w:val="1"/>
      <w:numFmt w:val="bullet"/>
      <w:lvlText w:val="•"/>
      <w:lvlJc w:val="left"/>
      <w:pPr>
        <w:tabs>
          <w:tab w:val="num" w:pos="5040"/>
        </w:tabs>
        <w:ind w:left="5040" w:hanging="360"/>
      </w:pPr>
      <w:rPr>
        <w:rFonts w:ascii="Arial" w:hAnsi="Arial" w:hint="default"/>
      </w:rPr>
    </w:lvl>
    <w:lvl w:ilvl="7" w:tplc="360CD04C" w:tentative="1">
      <w:start w:val="1"/>
      <w:numFmt w:val="bullet"/>
      <w:lvlText w:val="•"/>
      <w:lvlJc w:val="left"/>
      <w:pPr>
        <w:tabs>
          <w:tab w:val="num" w:pos="5760"/>
        </w:tabs>
        <w:ind w:left="5760" w:hanging="360"/>
      </w:pPr>
      <w:rPr>
        <w:rFonts w:ascii="Arial" w:hAnsi="Arial" w:hint="default"/>
      </w:rPr>
    </w:lvl>
    <w:lvl w:ilvl="8" w:tplc="8718392A" w:tentative="1">
      <w:start w:val="1"/>
      <w:numFmt w:val="bullet"/>
      <w:lvlText w:val="•"/>
      <w:lvlJc w:val="left"/>
      <w:pPr>
        <w:tabs>
          <w:tab w:val="num" w:pos="6480"/>
        </w:tabs>
        <w:ind w:left="6480" w:hanging="360"/>
      </w:pPr>
      <w:rPr>
        <w:rFonts w:ascii="Arial" w:hAnsi="Arial" w:hint="default"/>
      </w:rPr>
    </w:lvl>
  </w:abstractNum>
  <w:num w:numId="1" w16cid:durableId="881940209">
    <w:abstractNumId w:val="3"/>
  </w:num>
  <w:num w:numId="2" w16cid:durableId="1976333423">
    <w:abstractNumId w:val="0"/>
  </w:num>
  <w:num w:numId="3" w16cid:durableId="369956839">
    <w:abstractNumId w:val="5"/>
  </w:num>
  <w:num w:numId="4" w16cid:durableId="485711953">
    <w:abstractNumId w:val="6"/>
  </w:num>
  <w:num w:numId="5" w16cid:durableId="1068189780">
    <w:abstractNumId w:val="8"/>
  </w:num>
  <w:num w:numId="6" w16cid:durableId="451166786">
    <w:abstractNumId w:val="4"/>
  </w:num>
  <w:num w:numId="7" w16cid:durableId="915287595">
    <w:abstractNumId w:val="7"/>
  </w:num>
  <w:num w:numId="8" w16cid:durableId="1806388479">
    <w:abstractNumId w:val="1"/>
  </w:num>
  <w:num w:numId="9" w16cid:durableId="630404094">
    <w:abstractNumId w:val="9"/>
  </w:num>
  <w:num w:numId="10" w16cid:durableId="521286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9C"/>
    <w:rsid w:val="00003FAC"/>
    <w:rsid w:val="000045B4"/>
    <w:rsid w:val="00005352"/>
    <w:rsid w:val="00007894"/>
    <w:rsid w:val="000319CF"/>
    <w:rsid w:val="00034B51"/>
    <w:rsid w:val="0004143F"/>
    <w:rsid w:val="00047DB8"/>
    <w:rsid w:val="000502C7"/>
    <w:rsid w:val="00054B5C"/>
    <w:rsid w:val="00061880"/>
    <w:rsid w:val="000626C9"/>
    <w:rsid w:val="00062CA1"/>
    <w:rsid w:val="00062D45"/>
    <w:rsid w:val="00064210"/>
    <w:rsid w:val="00066BB8"/>
    <w:rsid w:val="00080107"/>
    <w:rsid w:val="00086B75"/>
    <w:rsid w:val="0009121A"/>
    <w:rsid w:val="00095224"/>
    <w:rsid w:val="0009728D"/>
    <w:rsid w:val="000A07F8"/>
    <w:rsid w:val="000A1E16"/>
    <w:rsid w:val="000A7D10"/>
    <w:rsid w:val="000B2466"/>
    <w:rsid w:val="000B558A"/>
    <w:rsid w:val="000B6C18"/>
    <w:rsid w:val="000C1648"/>
    <w:rsid w:val="000C294B"/>
    <w:rsid w:val="000C464E"/>
    <w:rsid w:val="000C4C4F"/>
    <w:rsid w:val="000C5CF6"/>
    <w:rsid w:val="000C6BE6"/>
    <w:rsid w:val="000D31FC"/>
    <w:rsid w:val="000E0D6D"/>
    <w:rsid w:val="000E11EF"/>
    <w:rsid w:val="000E318A"/>
    <w:rsid w:val="000E5A0F"/>
    <w:rsid w:val="000F2453"/>
    <w:rsid w:val="000F38EC"/>
    <w:rsid w:val="000F799D"/>
    <w:rsid w:val="000F7AEA"/>
    <w:rsid w:val="001020C6"/>
    <w:rsid w:val="00103C46"/>
    <w:rsid w:val="00121613"/>
    <w:rsid w:val="001270F9"/>
    <w:rsid w:val="001358C0"/>
    <w:rsid w:val="001365EA"/>
    <w:rsid w:val="0013737E"/>
    <w:rsid w:val="00150B31"/>
    <w:rsid w:val="00151C02"/>
    <w:rsid w:val="0015367C"/>
    <w:rsid w:val="001674BC"/>
    <w:rsid w:val="00172ACD"/>
    <w:rsid w:val="001737F4"/>
    <w:rsid w:val="00181326"/>
    <w:rsid w:val="001922EE"/>
    <w:rsid w:val="00196151"/>
    <w:rsid w:val="0019664C"/>
    <w:rsid w:val="001A0C12"/>
    <w:rsid w:val="001A2088"/>
    <w:rsid w:val="001A271E"/>
    <w:rsid w:val="001A72A7"/>
    <w:rsid w:val="001C552B"/>
    <w:rsid w:val="001C6655"/>
    <w:rsid w:val="001D5595"/>
    <w:rsid w:val="001D5826"/>
    <w:rsid w:val="001D74FD"/>
    <w:rsid w:val="001E4220"/>
    <w:rsid w:val="001E4B39"/>
    <w:rsid w:val="001E534D"/>
    <w:rsid w:val="001E5B65"/>
    <w:rsid w:val="001F04D8"/>
    <w:rsid w:val="001F2E15"/>
    <w:rsid w:val="001F64B2"/>
    <w:rsid w:val="001F6555"/>
    <w:rsid w:val="00200249"/>
    <w:rsid w:val="00202FCC"/>
    <w:rsid w:val="002057E7"/>
    <w:rsid w:val="002114DE"/>
    <w:rsid w:val="00213309"/>
    <w:rsid w:val="002207E8"/>
    <w:rsid w:val="002224DB"/>
    <w:rsid w:val="002243C7"/>
    <w:rsid w:val="00224F28"/>
    <w:rsid w:val="0022791A"/>
    <w:rsid w:val="002329FC"/>
    <w:rsid w:val="00233398"/>
    <w:rsid w:val="002340B9"/>
    <w:rsid w:val="00235253"/>
    <w:rsid w:val="002404A3"/>
    <w:rsid w:val="0024471E"/>
    <w:rsid w:val="00263C47"/>
    <w:rsid w:val="00277975"/>
    <w:rsid w:val="00286D4A"/>
    <w:rsid w:val="0029436A"/>
    <w:rsid w:val="002944ED"/>
    <w:rsid w:val="002A7F2A"/>
    <w:rsid w:val="002B6B09"/>
    <w:rsid w:val="002C3D03"/>
    <w:rsid w:val="002C4E08"/>
    <w:rsid w:val="002C7084"/>
    <w:rsid w:val="002D279F"/>
    <w:rsid w:val="002D3B2B"/>
    <w:rsid w:val="002E02B9"/>
    <w:rsid w:val="002E2789"/>
    <w:rsid w:val="002E450D"/>
    <w:rsid w:val="002E4934"/>
    <w:rsid w:val="002F3D56"/>
    <w:rsid w:val="003005DF"/>
    <w:rsid w:val="00303D65"/>
    <w:rsid w:val="0030441E"/>
    <w:rsid w:val="00310165"/>
    <w:rsid w:val="00312254"/>
    <w:rsid w:val="003122C2"/>
    <w:rsid w:val="00313181"/>
    <w:rsid w:val="003237A7"/>
    <w:rsid w:val="00335E07"/>
    <w:rsid w:val="00336014"/>
    <w:rsid w:val="00337239"/>
    <w:rsid w:val="00343F5A"/>
    <w:rsid w:val="003517A7"/>
    <w:rsid w:val="003527B2"/>
    <w:rsid w:val="0035397D"/>
    <w:rsid w:val="003570EC"/>
    <w:rsid w:val="00370951"/>
    <w:rsid w:val="00370F80"/>
    <w:rsid w:val="003766B1"/>
    <w:rsid w:val="00383238"/>
    <w:rsid w:val="00392CEA"/>
    <w:rsid w:val="00392FB4"/>
    <w:rsid w:val="00397D49"/>
    <w:rsid w:val="003A131F"/>
    <w:rsid w:val="003A329C"/>
    <w:rsid w:val="003A591C"/>
    <w:rsid w:val="003A7684"/>
    <w:rsid w:val="003B3E1D"/>
    <w:rsid w:val="003B4397"/>
    <w:rsid w:val="003B598E"/>
    <w:rsid w:val="003C0D1A"/>
    <w:rsid w:val="003C68E4"/>
    <w:rsid w:val="003C7E92"/>
    <w:rsid w:val="003D006E"/>
    <w:rsid w:val="003D2463"/>
    <w:rsid w:val="003D47AE"/>
    <w:rsid w:val="003D49F3"/>
    <w:rsid w:val="003E0C2E"/>
    <w:rsid w:val="003E2EC8"/>
    <w:rsid w:val="003E6593"/>
    <w:rsid w:val="003E71F4"/>
    <w:rsid w:val="003F3C2A"/>
    <w:rsid w:val="00401CC7"/>
    <w:rsid w:val="00403835"/>
    <w:rsid w:val="00406695"/>
    <w:rsid w:val="00406FD2"/>
    <w:rsid w:val="0041032C"/>
    <w:rsid w:val="00412DFC"/>
    <w:rsid w:val="00414899"/>
    <w:rsid w:val="004149F6"/>
    <w:rsid w:val="004215F8"/>
    <w:rsid w:val="00422258"/>
    <w:rsid w:val="00427D2E"/>
    <w:rsid w:val="00430020"/>
    <w:rsid w:val="0044097C"/>
    <w:rsid w:val="00440F2F"/>
    <w:rsid w:val="00443794"/>
    <w:rsid w:val="00446C49"/>
    <w:rsid w:val="004507FE"/>
    <w:rsid w:val="00450D3B"/>
    <w:rsid w:val="00454DCD"/>
    <w:rsid w:val="0046172F"/>
    <w:rsid w:val="00463485"/>
    <w:rsid w:val="004647EC"/>
    <w:rsid w:val="00466F9E"/>
    <w:rsid w:val="004724BB"/>
    <w:rsid w:val="00482873"/>
    <w:rsid w:val="004924C5"/>
    <w:rsid w:val="004A6DD4"/>
    <w:rsid w:val="004B266D"/>
    <w:rsid w:val="004B759A"/>
    <w:rsid w:val="004C3DA8"/>
    <w:rsid w:val="004C58C4"/>
    <w:rsid w:val="004C6B19"/>
    <w:rsid w:val="004C7E06"/>
    <w:rsid w:val="004D253B"/>
    <w:rsid w:val="004D2E79"/>
    <w:rsid w:val="004D36A6"/>
    <w:rsid w:val="004D4509"/>
    <w:rsid w:val="004E2BAD"/>
    <w:rsid w:val="004E418A"/>
    <w:rsid w:val="004F3117"/>
    <w:rsid w:val="004F7860"/>
    <w:rsid w:val="005003CA"/>
    <w:rsid w:val="00502DD2"/>
    <w:rsid w:val="005056C0"/>
    <w:rsid w:val="00511BE6"/>
    <w:rsid w:val="00513DFF"/>
    <w:rsid w:val="0051619D"/>
    <w:rsid w:val="005210F6"/>
    <w:rsid w:val="005262A8"/>
    <w:rsid w:val="0052790A"/>
    <w:rsid w:val="00531FB4"/>
    <w:rsid w:val="005341C1"/>
    <w:rsid w:val="00535562"/>
    <w:rsid w:val="005375E1"/>
    <w:rsid w:val="00543E65"/>
    <w:rsid w:val="00544457"/>
    <w:rsid w:val="0055305D"/>
    <w:rsid w:val="0055703A"/>
    <w:rsid w:val="00557534"/>
    <w:rsid w:val="005643E4"/>
    <w:rsid w:val="00565340"/>
    <w:rsid w:val="00566F69"/>
    <w:rsid w:val="0056707D"/>
    <w:rsid w:val="0057090A"/>
    <w:rsid w:val="00574525"/>
    <w:rsid w:val="00574941"/>
    <w:rsid w:val="00580A36"/>
    <w:rsid w:val="00593F8F"/>
    <w:rsid w:val="00596CE3"/>
    <w:rsid w:val="00597374"/>
    <w:rsid w:val="005A37DE"/>
    <w:rsid w:val="005A3A0B"/>
    <w:rsid w:val="005A427C"/>
    <w:rsid w:val="005A6727"/>
    <w:rsid w:val="005D07A5"/>
    <w:rsid w:val="005D0E0C"/>
    <w:rsid w:val="005D17A1"/>
    <w:rsid w:val="005D4646"/>
    <w:rsid w:val="005D69A0"/>
    <w:rsid w:val="005E2DC4"/>
    <w:rsid w:val="005E3418"/>
    <w:rsid w:val="005F4DD3"/>
    <w:rsid w:val="005F504E"/>
    <w:rsid w:val="00600955"/>
    <w:rsid w:val="006020D7"/>
    <w:rsid w:val="006026F1"/>
    <w:rsid w:val="006063E8"/>
    <w:rsid w:val="0061180B"/>
    <w:rsid w:val="00613778"/>
    <w:rsid w:val="00613A9F"/>
    <w:rsid w:val="00614629"/>
    <w:rsid w:val="00622CA6"/>
    <w:rsid w:val="006407F6"/>
    <w:rsid w:val="00641176"/>
    <w:rsid w:val="00641F2A"/>
    <w:rsid w:val="00642984"/>
    <w:rsid w:val="00643FE0"/>
    <w:rsid w:val="00646033"/>
    <w:rsid w:val="00647562"/>
    <w:rsid w:val="0065086F"/>
    <w:rsid w:val="00651CC8"/>
    <w:rsid w:val="0065531E"/>
    <w:rsid w:val="00656071"/>
    <w:rsid w:val="006619D8"/>
    <w:rsid w:val="0066622F"/>
    <w:rsid w:val="006709EA"/>
    <w:rsid w:val="00676A19"/>
    <w:rsid w:val="006858D9"/>
    <w:rsid w:val="006A53E3"/>
    <w:rsid w:val="006A6CDF"/>
    <w:rsid w:val="006A7831"/>
    <w:rsid w:val="006B04BD"/>
    <w:rsid w:val="006B32AC"/>
    <w:rsid w:val="006C0A83"/>
    <w:rsid w:val="006C2692"/>
    <w:rsid w:val="006C60AB"/>
    <w:rsid w:val="006D1F7D"/>
    <w:rsid w:val="006E3638"/>
    <w:rsid w:val="006E7F7B"/>
    <w:rsid w:val="006F0439"/>
    <w:rsid w:val="006F3741"/>
    <w:rsid w:val="00701D79"/>
    <w:rsid w:val="0071452F"/>
    <w:rsid w:val="00732552"/>
    <w:rsid w:val="00732DB9"/>
    <w:rsid w:val="00737A71"/>
    <w:rsid w:val="007410DB"/>
    <w:rsid w:val="00741858"/>
    <w:rsid w:val="00751005"/>
    <w:rsid w:val="007653BD"/>
    <w:rsid w:val="00780B2B"/>
    <w:rsid w:val="00781153"/>
    <w:rsid w:val="00783A7F"/>
    <w:rsid w:val="00786380"/>
    <w:rsid w:val="007905C8"/>
    <w:rsid w:val="0079476F"/>
    <w:rsid w:val="007968A2"/>
    <w:rsid w:val="007B7954"/>
    <w:rsid w:val="007D130C"/>
    <w:rsid w:val="007D1D43"/>
    <w:rsid w:val="007E0A3D"/>
    <w:rsid w:val="007F03AA"/>
    <w:rsid w:val="007F2B5E"/>
    <w:rsid w:val="007F44E6"/>
    <w:rsid w:val="007F65D2"/>
    <w:rsid w:val="00801F9C"/>
    <w:rsid w:val="00802DC8"/>
    <w:rsid w:val="00803B8B"/>
    <w:rsid w:val="00813F5A"/>
    <w:rsid w:val="00815AC1"/>
    <w:rsid w:val="008275F6"/>
    <w:rsid w:val="00830046"/>
    <w:rsid w:val="008301FC"/>
    <w:rsid w:val="00830D71"/>
    <w:rsid w:val="008327C5"/>
    <w:rsid w:val="00835D38"/>
    <w:rsid w:val="0084180D"/>
    <w:rsid w:val="00844380"/>
    <w:rsid w:val="00853EEB"/>
    <w:rsid w:val="0086224D"/>
    <w:rsid w:val="008631C3"/>
    <w:rsid w:val="00866FB4"/>
    <w:rsid w:val="0087582A"/>
    <w:rsid w:val="00886116"/>
    <w:rsid w:val="00890A69"/>
    <w:rsid w:val="0089739C"/>
    <w:rsid w:val="008A018F"/>
    <w:rsid w:val="008A02EF"/>
    <w:rsid w:val="008B4AC6"/>
    <w:rsid w:val="008B4CAD"/>
    <w:rsid w:val="008B7A21"/>
    <w:rsid w:val="008C01DD"/>
    <w:rsid w:val="008C056F"/>
    <w:rsid w:val="008C7634"/>
    <w:rsid w:val="008D16CA"/>
    <w:rsid w:val="008D50BE"/>
    <w:rsid w:val="008E05E1"/>
    <w:rsid w:val="008E1ABA"/>
    <w:rsid w:val="008E4328"/>
    <w:rsid w:val="008E46C5"/>
    <w:rsid w:val="008E537E"/>
    <w:rsid w:val="008F1F15"/>
    <w:rsid w:val="008F6486"/>
    <w:rsid w:val="00900772"/>
    <w:rsid w:val="00904823"/>
    <w:rsid w:val="00916F6B"/>
    <w:rsid w:val="00917EEF"/>
    <w:rsid w:val="0092462A"/>
    <w:rsid w:val="00931BCB"/>
    <w:rsid w:val="00933252"/>
    <w:rsid w:val="00936E3C"/>
    <w:rsid w:val="009414DB"/>
    <w:rsid w:val="0094238E"/>
    <w:rsid w:val="009536B5"/>
    <w:rsid w:val="00954457"/>
    <w:rsid w:val="00954F7F"/>
    <w:rsid w:val="00956691"/>
    <w:rsid w:val="00965453"/>
    <w:rsid w:val="00971F40"/>
    <w:rsid w:val="00973950"/>
    <w:rsid w:val="00975F05"/>
    <w:rsid w:val="00986038"/>
    <w:rsid w:val="009865F5"/>
    <w:rsid w:val="00987C61"/>
    <w:rsid w:val="00991BA1"/>
    <w:rsid w:val="009928CC"/>
    <w:rsid w:val="0099534C"/>
    <w:rsid w:val="009969DE"/>
    <w:rsid w:val="009970CB"/>
    <w:rsid w:val="009A3098"/>
    <w:rsid w:val="009A7561"/>
    <w:rsid w:val="009B50ED"/>
    <w:rsid w:val="009B55BD"/>
    <w:rsid w:val="009C03EF"/>
    <w:rsid w:val="009C05C8"/>
    <w:rsid w:val="009C2313"/>
    <w:rsid w:val="009D2F93"/>
    <w:rsid w:val="009D51DC"/>
    <w:rsid w:val="009D587A"/>
    <w:rsid w:val="009D740F"/>
    <w:rsid w:val="009E460C"/>
    <w:rsid w:val="009E54A6"/>
    <w:rsid w:val="009F4414"/>
    <w:rsid w:val="009F49E0"/>
    <w:rsid w:val="009F65CA"/>
    <w:rsid w:val="00A008A0"/>
    <w:rsid w:val="00A0095A"/>
    <w:rsid w:val="00A02D51"/>
    <w:rsid w:val="00A0309F"/>
    <w:rsid w:val="00A03919"/>
    <w:rsid w:val="00A153C6"/>
    <w:rsid w:val="00A20E3C"/>
    <w:rsid w:val="00A22B06"/>
    <w:rsid w:val="00A30933"/>
    <w:rsid w:val="00A3133F"/>
    <w:rsid w:val="00A370C7"/>
    <w:rsid w:val="00A37670"/>
    <w:rsid w:val="00A405B7"/>
    <w:rsid w:val="00A450C6"/>
    <w:rsid w:val="00A638CE"/>
    <w:rsid w:val="00A64EE2"/>
    <w:rsid w:val="00A67937"/>
    <w:rsid w:val="00A715E1"/>
    <w:rsid w:val="00A71B0D"/>
    <w:rsid w:val="00A72755"/>
    <w:rsid w:val="00A72FA3"/>
    <w:rsid w:val="00A7636E"/>
    <w:rsid w:val="00A772B1"/>
    <w:rsid w:val="00A81E2D"/>
    <w:rsid w:val="00A84CFB"/>
    <w:rsid w:val="00A856F3"/>
    <w:rsid w:val="00A87968"/>
    <w:rsid w:val="00A92E6D"/>
    <w:rsid w:val="00A92F8C"/>
    <w:rsid w:val="00A9322C"/>
    <w:rsid w:val="00A93336"/>
    <w:rsid w:val="00A968FB"/>
    <w:rsid w:val="00A975DC"/>
    <w:rsid w:val="00AA3FC7"/>
    <w:rsid w:val="00AA42F5"/>
    <w:rsid w:val="00AA63EE"/>
    <w:rsid w:val="00AA64E5"/>
    <w:rsid w:val="00AB73A2"/>
    <w:rsid w:val="00AC42C4"/>
    <w:rsid w:val="00AD25A2"/>
    <w:rsid w:val="00AD4424"/>
    <w:rsid w:val="00AD7E01"/>
    <w:rsid w:val="00AE3499"/>
    <w:rsid w:val="00AE749D"/>
    <w:rsid w:val="00AF3B80"/>
    <w:rsid w:val="00AF659C"/>
    <w:rsid w:val="00AF772D"/>
    <w:rsid w:val="00B061FF"/>
    <w:rsid w:val="00B15C5A"/>
    <w:rsid w:val="00B20778"/>
    <w:rsid w:val="00B21F7D"/>
    <w:rsid w:val="00B30D3F"/>
    <w:rsid w:val="00B441D2"/>
    <w:rsid w:val="00B47133"/>
    <w:rsid w:val="00B518A5"/>
    <w:rsid w:val="00B51D11"/>
    <w:rsid w:val="00B54FFF"/>
    <w:rsid w:val="00B60255"/>
    <w:rsid w:val="00B6032B"/>
    <w:rsid w:val="00B64F70"/>
    <w:rsid w:val="00B84F14"/>
    <w:rsid w:val="00B93A08"/>
    <w:rsid w:val="00B94502"/>
    <w:rsid w:val="00B96543"/>
    <w:rsid w:val="00BA0BBC"/>
    <w:rsid w:val="00BA5D08"/>
    <w:rsid w:val="00BA6BC8"/>
    <w:rsid w:val="00BA7A0D"/>
    <w:rsid w:val="00BA7EB7"/>
    <w:rsid w:val="00BB059C"/>
    <w:rsid w:val="00BB6344"/>
    <w:rsid w:val="00BC1C72"/>
    <w:rsid w:val="00BC39E6"/>
    <w:rsid w:val="00BC51DE"/>
    <w:rsid w:val="00BC5CDF"/>
    <w:rsid w:val="00BD2538"/>
    <w:rsid w:val="00BD4891"/>
    <w:rsid w:val="00BD5545"/>
    <w:rsid w:val="00BD6702"/>
    <w:rsid w:val="00BD77D3"/>
    <w:rsid w:val="00BE146E"/>
    <w:rsid w:val="00BE4007"/>
    <w:rsid w:val="00BE7A66"/>
    <w:rsid w:val="00C04A69"/>
    <w:rsid w:val="00C05467"/>
    <w:rsid w:val="00C077EE"/>
    <w:rsid w:val="00C14320"/>
    <w:rsid w:val="00C14910"/>
    <w:rsid w:val="00C15F00"/>
    <w:rsid w:val="00C23B2F"/>
    <w:rsid w:val="00C3438D"/>
    <w:rsid w:val="00C4121B"/>
    <w:rsid w:val="00C53518"/>
    <w:rsid w:val="00C54E3B"/>
    <w:rsid w:val="00C55CB9"/>
    <w:rsid w:val="00C64255"/>
    <w:rsid w:val="00C67728"/>
    <w:rsid w:val="00C72FF1"/>
    <w:rsid w:val="00C747B3"/>
    <w:rsid w:val="00C74874"/>
    <w:rsid w:val="00C7583D"/>
    <w:rsid w:val="00C90DC5"/>
    <w:rsid w:val="00C92F3F"/>
    <w:rsid w:val="00CA264F"/>
    <w:rsid w:val="00CA36B4"/>
    <w:rsid w:val="00CB031E"/>
    <w:rsid w:val="00CB3031"/>
    <w:rsid w:val="00CB65BA"/>
    <w:rsid w:val="00CC3759"/>
    <w:rsid w:val="00CD08C3"/>
    <w:rsid w:val="00CD3526"/>
    <w:rsid w:val="00CE25C8"/>
    <w:rsid w:val="00CE3102"/>
    <w:rsid w:val="00CE63FB"/>
    <w:rsid w:val="00CE68E3"/>
    <w:rsid w:val="00CF11DB"/>
    <w:rsid w:val="00CF3C82"/>
    <w:rsid w:val="00CF7E79"/>
    <w:rsid w:val="00D00B93"/>
    <w:rsid w:val="00D11452"/>
    <w:rsid w:val="00D12A49"/>
    <w:rsid w:val="00D27C7A"/>
    <w:rsid w:val="00D36B70"/>
    <w:rsid w:val="00D3736E"/>
    <w:rsid w:val="00D401F6"/>
    <w:rsid w:val="00D46DA1"/>
    <w:rsid w:val="00D51A0B"/>
    <w:rsid w:val="00D603FA"/>
    <w:rsid w:val="00D63989"/>
    <w:rsid w:val="00D651BD"/>
    <w:rsid w:val="00D67E9E"/>
    <w:rsid w:val="00D707F7"/>
    <w:rsid w:val="00D709B4"/>
    <w:rsid w:val="00D73118"/>
    <w:rsid w:val="00D73C62"/>
    <w:rsid w:val="00D73F2D"/>
    <w:rsid w:val="00D81D59"/>
    <w:rsid w:val="00D83ABB"/>
    <w:rsid w:val="00D9111A"/>
    <w:rsid w:val="00DA74C3"/>
    <w:rsid w:val="00DB0E33"/>
    <w:rsid w:val="00DB1286"/>
    <w:rsid w:val="00DB55CB"/>
    <w:rsid w:val="00DB7E0A"/>
    <w:rsid w:val="00DC0203"/>
    <w:rsid w:val="00DC1E0F"/>
    <w:rsid w:val="00DC33FB"/>
    <w:rsid w:val="00DC6BB2"/>
    <w:rsid w:val="00DD27C5"/>
    <w:rsid w:val="00DD4449"/>
    <w:rsid w:val="00DE2A69"/>
    <w:rsid w:val="00DE5A03"/>
    <w:rsid w:val="00DE778C"/>
    <w:rsid w:val="00DF5A9D"/>
    <w:rsid w:val="00DF7061"/>
    <w:rsid w:val="00E04196"/>
    <w:rsid w:val="00E05574"/>
    <w:rsid w:val="00E164F8"/>
    <w:rsid w:val="00E22B46"/>
    <w:rsid w:val="00E25EB9"/>
    <w:rsid w:val="00E3048A"/>
    <w:rsid w:val="00E304D2"/>
    <w:rsid w:val="00E4020F"/>
    <w:rsid w:val="00E40955"/>
    <w:rsid w:val="00E45861"/>
    <w:rsid w:val="00E464CE"/>
    <w:rsid w:val="00E6477C"/>
    <w:rsid w:val="00E77969"/>
    <w:rsid w:val="00E82D5D"/>
    <w:rsid w:val="00E867CE"/>
    <w:rsid w:val="00E905D5"/>
    <w:rsid w:val="00E91539"/>
    <w:rsid w:val="00E917B3"/>
    <w:rsid w:val="00E940CB"/>
    <w:rsid w:val="00EA093B"/>
    <w:rsid w:val="00EA6A40"/>
    <w:rsid w:val="00EA716C"/>
    <w:rsid w:val="00EB144B"/>
    <w:rsid w:val="00EB40B1"/>
    <w:rsid w:val="00EB73C9"/>
    <w:rsid w:val="00EB771F"/>
    <w:rsid w:val="00EC6DEB"/>
    <w:rsid w:val="00ED2A3C"/>
    <w:rsid w:val="00ED50CE"/>
    <w:rsid w:val="00EE0D4F"/>
    <w:rsid w:val="00EE31FF"/>
    <w:rsid w:val="00EF312A"/>
    <w:rsid w:val="00EF3272"/>
    <w:rsid w:val="00EF4E20"/>
    <w:rsid w:val="00EF6E4D"/>
    <w:rsid w:val="00EF7D48"/>
    <w:rsid w:val="00F058CC"/>
    <w:rsid w:val="00F10298"/>
    <w:rsid w:val="00F21B5B"/>
    <w:rsid w:val="00F22D9D"/>
    <w:rsid w:val="00F259CB"/>
    <w:rsid w:val="00F315F7"/>
    <w:rsid w:val="00F317A6"/>
    <w:rsid w:val="00F35D8F"/>
    <w:rsid w:val="00F37C4C"/>
    <w:rsid w:val="00F432E0"/>
    <w:rsid w:val="00F43CD7"/>
    <w:rsid w:val="00F5679D"/>
    <w:rsid w:val="00F57ED7"/>
    <w:rsid w:val="00F7007D"/>
    <w:rsid w:val="00F7388C"/>
    <w:rsid w:val="00F74CB1"/>
    <w:rsid w:val="00F74DFC"/>
    <w:rsid w:val="00F83291"/>
    <w:rsid w:val="00F8353D"/>
    <w:rsid w:val="00F86571"/>
    <w:rsid w:val="00F95381"/>
    <w:rsid w:val="00FB2310"/>
    <w:rsid w:val="00FC00D7"/>
    <w:rsid w:val="00FC082C"/>
    <w:rsid w:val="00FC7447"/>
    <w:rsid w:val="00FD5B7A"/>
    <w:rsid w:val="00FE4DA3"/>
    <w:rsid w:val="00FE6A56"/>
    <w:rsid w:val="00FE7DE7"/>
    <w:rsid w:val="00FF1A19"/>
    <w:rsid w:val="00FF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07F1"/>
  <w15:chartTrackingRefBased/>
  <w15:docId w15:val="{BA9CCD94-1947-4B4E-B2FC-D7E7A784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2C"/>
  </w:style>
  <w:style w:type="paragraph" w:styleId="Heading1">
    <w:name w:val="heading 1"/>
    <w:basedOn w:val="Normal"/>
    <w:next w:val="Normal"/>
    <w:link w:val="Heading1Char"/>
    <w:uiPriority w:val="9"/>
    <w:qFormat/>
    <w:rsid w:val="003A3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3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32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32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32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2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32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32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32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32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29C"/>
    <w:rPr>
      <w:rFonts w:eastAsiaTheme="majorEastAsia" w:cstheme="majorBidi"/>
      <w:color w:val="272727" w:themeColor="text1" w:themeTint="D8"/>
    </w:rPr>
  </w:style>
  <w:style w:type="paragraph" w:styleId="Title">
    <w:name w:val="Title"/>
    <w:basedOn w:val="Normal"/>
    <w:next w:val="Normal"/>
    <w:link w:val="TitleChar"/>
    <w:uiPriority w:val="10"/>
    <w:qFormat/>
    <w:rsid w:val="003A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29C"/>
    <w:pPr>
      <w:spacing w:before="160"/>
      <w:jc w:val="center"/>
    </w:pPr>
    <w:rPr>
      <w:i/>
      <w:iCs/>
      <w:color w:val="404040" w:themeColor="text1" w:themeTint="BF"/>
    </w:rPr>
  </w:style>
  <w:style w:type="character" w:customStyle="1" w:styleId="QuoteChar">
    <w:name w:val="Quote Char"/>
    <w:basedOn w:val="DefaultParagraphFont"/>
    <w:link w:val="Quote"/>
    <w:uiPriority w:val="29"/>
    <w:rsid w:val="003A329C"/>
    <w:rPr>
      <w:i/>
      <w:iCs/>
      <w:color w:val="404040" w:themeColor="text1" w:themeTint="BF"/>
    </w:rPr>
  </w:style>
  <w:style w:type="paragraph" w:styleId="ListParagraph">
    <w:name w:val="List Paragraph"/>
    <w:basedOn w:val="Normal"/>
    <w:uiPriority w:val="34"/>
    <w:qFormat/>
    <w:rsid w:val="003A329C"/>
    <w:pPr>
      <w:ind w:left="720"/>
      <w:contextualSpacing/>
    </w:pPr>
  </w:style>
  <w:style w:type="character" w:styleId="IntenseEmphasis">
    <w:name w:val="Intense Emphasis"/>
    <w:basedOn w:val="DefaultParagraphFont"/>
    <w:uiPriority w:val="21"/>
    <w:qFormat/>
    <w:rsid w:val="003A329C"/>
    <w:rPr>
      <w:i/>
      <w:iCs/>
      <w:color w:val="2F5496" w:themeColor="accent1" w:themeShade="BF"/>
    </w:rPr>
  </w:style>
  <w:style w:type="paragraph" w:styleId="IntenseQuote">
    <w:name w:val="Intense Quote"/>
    <w:basedOn w:val="Normal"/>
    <w:next w:val="Normal"/>
    <w:link w:val="IntenseQuoteChar"/>
    <w:uiPriority w:val="30"/>
    <w:qFormat/>
    <w:rsid w:val="003A3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329C"/>
    <w:rPr>
      <w:i/>
      <w:iCs/>
      <w:color w:val="2F5496" w:themeColor="accent1" w:themeShade="BF"/>
    </w:rPr>
  </w:style>
  <w:style w:type="character" w:styleId="IntenseReference">
    <w:name w:val="Intense Reference"/>
    <w:basedOn w:val="DefaultParagraphFont"/>
    <w:uiPriority w:val="32"/>
    <w:qFormat/>
    <w:rsid w:val="003A329C"/>
    <w:rPr>
      <w:b/>
      <w:bCs/>
      <w:smallCaps/>
      <w:color w:val="2F5496" w:themeColor="accent1" w:themeShade="BF"/>
      <w:spacing w:val="5"/>
    </w:rPr>
  </w:style>
  <w:style w:type="paragraph" w:customStyle="1" w:styleId="Default">
    <w:name w:val="Default"/>
    <w:rsid w:val="003A329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65453"/>
    <w:pPr>
      <w:spacing w:after="0" w:line="240" w:lineRule="auto"/>
    </w:pPr>
    <w:rPr>
      <w:kern w:val="2"/>
      <w14:ligatures w14:val="standardContextual"/>
    </w:rPr>
  </w:style>
  <w:style w:type="paragraph" w:styleId="Header">
    <w:name w:val="header"/>
    <w:basedOn w:val="Normal"/>
    <w:link w:val="HeaderChar"/>
    <w:uiPriority w:val="99"/>
    <w:unhideWhenUsed/>
    <w:rsid w:val="00A03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919"/>
  </w:style>
  <w:style w:type="paragraph" w:styleId="Footer">
    <w:name w:val="footer"/>
    <w:basedOn w:val="Normal"/>
    <w:link w:val="FooterChar"/>
    <w:uiPriority w:val="99"/>
    <w:unhideWhenUsed/>
    <w:rsid w:val="00A03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919"/>
  </w:style>
  <w:style w:type="paragraph" w:styleId="Revision">
    <w:name w:val="Revision"/>
    <w:hidden/>
    <w:uiPriority w:val="99"/>
    <w:semiHidden/>
    <w:rsid w:val="00303D65"/>
    <w:pPr>
      <w:spacing w:after="0" w:line="240" w:lineRule="auto"/>
    </w:pPr>
  </w:style>
  <w:style w:type="paragraph" w:styleId="NormalWeb">
    <w:name w:val="Normal (Web)"/>
    <w:basedOn w:val="Normal"/>
    <w:uiPriority w:val="99"/>
    <w:unhideWhenUsed/>
    <w:rsid w:val="005003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7E9E"/>
    <w:rPr>
      <w:color w:val="0563C1" w:themeColor="hyperlink"/>
      <w:u w:val="single"/>
    </w:rPr>
  </w:style>
  <w:style w:type="character" w:styleId="UnresolvedMention">
    <w:name w:val="Unresolved Mention"/>
    <w:basedOn w:val="DefaultParagraphFont"/>
    <w:uiPriority w:val="99"/>
    <w:semiHidden/>
    <w:unhideWhenUsed/>
    <w:rsid w:val="00D67E9E"/>
    <w:rPr>
      <w:color w:val="605E5C"/>
      <w:shd w:val="clear" w:color="auto" w:fill="E1DFDD"/>
    </w:rPr>
  </w:style>
  <w:style w:type="character" w:styleId="CommentReference">
    <w:name w:val="annotation reference"/>
    <w:basedOn w:val="DefaultParagraphFont"/>
    <w:uiPriority w:val="99"/>
    <w:semiHidden/>
    <w:unhideWhenUsed/>
    <w:rsid w:val="00FD5B7A"/>
    <w:rPr>
      <w:sz w:val="16"/>
      <w:szCs w:val="16"/>
    </w:rPr>
  </w:style>
  <w:style w:type="paragraph" w:styleId="CommentText">
    <w:name w:val="annotation text"/>
    <w:basedOn w:val="Normal"/>
    <w:link w:val="CommentTextChar"/>
    <w:uiPriority w:val="99"/>
    <w:unhideWhenUsed/>
    <w:rsid w:val="00FD5B7A"/>
    <w:pPr>
      <w:spacing w:line="240" w:lineRule="auto"/>
    </w:pPr>
    <w:rPr>
      <w:sz w:val="20"/>
      <w:szCs w:val="20"/>
    </w:rPr>
  </w:style>
  <w:style w:type="character" w:customStyle="1" w:styleId="CommentTextChar">
    <w:name w:val="Comment Text Char"/>
    <w:basedOn w:val="DefaultParagraphFont"/>
    <w:link w:val="CommentText"/>
    <w:uiPriority w:val="99"/>
    <w:rsid w:val="00FD5B7A"/>
    <w:rPr>
      <w:sz w:val="20"/>
      <w:szCs w:val="20"/>
    </w:rPr>
  </w:style>
  <w:style w:type="paragraph" w:styleId="CommentSubject">
    <w:name w:val="annotation subject"/>
    <w:basedOn w:val="CommentText"/>
    <w:next w:val="CommentText"/>
    <w:link w:val="CommentSubjectChar"/>
    <w:uiPriority w:val="99"/>
    <w:semiHidden/>
    <w:unhideWhenUsed/>
    <w:rsid w:val="00FD5B7A"/>
    <w:rPr>
      <w:b/>
      <w:bCs/>
    </w:rPr>
  </w:style>
  <w:style w:type="character" w:customStyle="1" w:styleId="CommentSubjectChar">
    <w:name w:val="Comment Subject Char"/>
    <w:basedOn w:val="CommentTextChar"/>
    <w:link w:val="CommentSubject"/>
    <w:uiPriority w:val="99"/>
    <w:semiHidden/>
    <w:rsid w:val="00FD5B7A"/>
    <w:rPr>
      <w:b/>
      <w:bCs/>
      <w:sz w:val="20"/>
      <w:szCs w:val="20"/>
    </w:rPr>
  </w:style>
  <w:style w:type="character" w:styleId="Strong">
    <w:name w:val="Strong"/>
    <w:basedOn w:val="DefaultParagraphFont"/>
    <w:uiPriority w:val="22"/>
    <w:qFormat/>
    <w:rsid w:val="002D2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9138">
      <w:bodyDiv w:val="1"/>
      <w:marLeft w:val="0"/>
      <w:marRight w:val="0"/>
      <w:marTop w:val="0"/>
      <w:marBottom w:val="0"/>
      <w:divBdr>
        <w:top w:val="none" w:sz="0" w:space="0" w:color="auto"/>
        <w:left w:val="none" w:sz="0" w:space="0" w:color="auto"/>
        <w:bottom w:val="none" w:sz="0" w:space="0" w:color="auto"/>
        <w:right w:val="none" w:sz="0" w:space="0" w:color="auto"/>
      </w:divBdr>
    </w:div>
    <w:div w:id="345013747">
      <w:bodyDiv w:val="1"/>
      <w:marLeft w:val="0"/>
      <w:marRight w:val="0"/>
      <w:marTop w:val="0"/>
      <w:marBottom w:val="0"/>
      <w:divBdr>
        <w:top w:val="none" w:sz="0" w:space="0" w:color="auto"/>
        <w:left w:val="none" w:sz="0" w:space="0" w:color="auto"/>
        <w:bottom w:val="none" w:sz="0" w:space="0" w:color="auto"/>
        <w:right w:val="none" w:sz="0" w:space="0" w:color="auto"/>
      </w:divBdr>
    </w:div>
    <w:div w:id="605507806">
      <w:bodyDiv w:val="1"/>
      <w:marLeft w:val="0"/>
      <w:marRight w:val="0"/>
      <w:marTop w:val="0"/>
      <w:marBottom w:val="0"/>
      <w:divBdr>
        <w:top w:val="none" w:sz="0" w:space="0" w:color="auto"/>
        <w:left w:val="none" w:sz="0" w:space="0" w:color="auto"/>
        <w:bottom w:val="none" w:sz="0" w:space="0" w:color="auto"/>
        <w:right w:val="none" w:sz="0" w:space="0" w:color="auto"/>
      </w:divBdr>
    </w:div>
    <w:div w:id="617184341">
      <w:bodyDiv w:val="1"/>
      <w:marLeft w:val="0"/>
      <w:marRight w:val="0"/>
      <w:marTop w:val="0"/>
      <w:marBottom w:val="0"/>
      <w:divBdr>
        <w:top w:val="none" w:sz="0" w:space="0" w:color="auto"/>
        <w:left w:val="none" w:sz="0" w:space="0" w:color="auto"/>
        <w:bottom w:val="none" w:sz="0" w:space="0" w:color="auto"/>
        <w:right w:val="none" w:sz="0" w:space="0" w:color="auto"/>
      </w:divBdr>
      <w:divsChild>
        <w:div w:id="350842096">
          <w:marLeft w:val="245"/>
          <w:marRight w:val="0"/>
          <w:marTop w:val="136"/>
          <w:marBottom w:val="0"/>
          <w:divBdr>
            <w:top w:val="none" w:sz="0" w:space="0" w:color="auto"/>
            <w:left w:val="none" w:sz="0" w:space="0" w:color="auto"/>
            <w:bottom w:val="none" w:sz="0" w:space="0" w:color="auto"/>
            <w:right w:val="none" w:sz="0" w:space="0" w:color="auto"/>
          </w:divBdr>
        </w:div>
        <w:div w:id="1588802313">
          <w:marLeft w:val="245"/>
          <w:marRight w:val="0"/>
          <w:marTop w:val="136"/>
          <w:marBottom w:val="0"/>
          <w:divBdr>
            <w:top w:val="none" w:sz="0" w:space="0" w:color="auto"/>
            <w:left w:val="none" w:sz="0" w:space="0" w:color="auto"/>
            <w:bottom w:val="none" w:sz="0" w:space="0" w:color="auto"/>
            <w:right w:val="none" w:sz="0" w:space="0" w:color="auto"/>
          </w:divBdr>
        </w:div>
        <w:div w:id="749817442">
          <w:marLeft w:val="245"/>
          <w:marRight w:val="0"/>
          <w:marTop w:val="136"/>
          <w:marBottom w:val="0"/>
          <w:divBdr>
            <w:top w:val="none" w:sz="0" w:space="0" w:color="auto"/>
            <w:left w:val="none" w:sz="0" w:space="0" w:color="auto"/>
            <w:bottom w:val="none" w:sz="0" w:space="0" w:color="auto"/>
            <w:right w:val="none" w:sz="0" w:space="0" w:color="auto"/>
          </w:divBdr>
        </w:div>
        <w:div w:id="1795253189">
          <w:marLeft w:val="734"/>
          <w:marRight w:val="0"/>
          <w:marTop w:val="68"/>
          <w:marBottom w:val="0"/>
          <w:divBdr>
            <w:top w:val="none" w:sz="0" w:space="0" w:color="auto"/>
            <w:left w:val="none" w:sz="0" w:space="0" w:color="auto"/>
            <w:bottom w:val="none" w:sz="0" w:space="0" w:color="auto"/>
            <w:right w:val="none" w:sz="0" w:space="0" w:color="auto"/>
          </w:divBdr>
        </w:div>
        <w:div w:id="82534197">
          <w:marLeft w:val="734"/>
          <w:marRight w:val="0"/>
          <w:marTop w:val="68"/>
          <w:marBottom w:val="0"/>
          <w:divBdr>
            <w:top w:val="none" w:sz="0" w:space="0" w:color="auto"/>
            <w:left w:val="none" w:sz="0" w:space="0" w:color="auto"/>
            <w:bottom w:val="none" w:sz="0" w:space="0" w:color="auto"/>
            <w:right w:val="none" w:sz="0" w:space="0" w:color="auto"/>
          </w:divBdr>
        </w:div>
      </w:divsChild>
    </w:div>
    <w:div w:id="981425887">
      <w:bodyDiv w:val="1"/>
      <w:marLeft w:val="0"/>
      <w:marRight w:val="0"/>
      <w:marTop w:val="0"/>
      <w:marBottom w:val="0"/>
      <w:divBdr>
        <w:top w:val="none" w:sz="0" w:space="0" w:color="auto"/>
        <w:left w:val="none" w:sz="0" w:space="0" w:color="auto"/>
        <w:bottom w:val="none" w:sz="0" w:space="0" w:color="auto"/>
        <w:right w:val="none" w:sz="0" w:space="0" w:color="auto"/>
      </w:divBdr>
      <w:divsChild>
        <w:div w:id="930549884">
          <w:marLeft w:val="446"/>
          <w:marRight w:val="0"/>
          <w:marTop w:val="136"/>
          <w:marBottom w:val="120"/>
          <w:divBdr>
            <w:top w:val="none" w:sz="0" w:space="0" w:color="auto"/>
            <w:left w:val="none" w:sz="0" w:space="0" w:color="auto"/>
            <w:bottom w:val="none" w:sz="0" w:space="0" w:color="auto"/>
            <w:right w:val="none" w:sz="0" w:space="0" w:color="auto"/>
          </w:divBdr>
        </w:div>
        <w:div w:id="1536849830">
          <w:marLeft w:val="936"/>
          <w:marRight w:val="0"/>
          <w:marTop w:val="68"/>
          <w:marBottom w:val="120"/>
          <w:divBdr>
            <w:top w:val="none" w:sz="0" w:space="0" w:color="auto"/>
            <w:left w:val="none" w:sz="0" w:space="0" w:color="auto"/>
            <w:bottom w:val="none" w:sz="0" w:space="0" w:color="auto"/>
            <w:right w:val="none" w:sz="0" w:space="0" w:color="auto"/>
          </w:divBdr>
        </w:div>
      </w:divsChild>
    </w:div>
    <w:div w:id="13492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1378</Words>
  <Characters>8053</Characters>
  <Application>Microsoft Office Word</Application>
  <DocSecurity>0</DocSecurity>
  <Lines>120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Josh</dc:creator>
  <cp:keywords/>
  <dc:description/>
  <cp:lastModifiedBy>Walton, Ashley</cp:lastModifiedBy>
  <cp:revision>11</cp:revision>
  <cp:lastPrinted>2024-03-20T18:49:00Z</cp:lastPrinted>
  <dcterms:created xsi:type="dcterms:W3CDTF">2026-04-06T14:24:00Z</dcterms:created>
  <dcterms:modified xsi:type="dcterms:W3CDTF">2026-04-06T19:14:00Z</dcterms:modified>
</cp:coreProperties>
</file>