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AB23" w14:textId="1C195960" w:rsidR="00A70E98" w:rsidRPr="002E33B3" w:rsidRDefault="004C0DB0" w:rsidP="005B72BC">
      <w:pPr>
        <w:spacing w:line="240" w:lineRule="auto"/>
        <w:rPr>
          <w:rFonts w:cs="Calibri"/>
          <w:b/>
          <w:bCs/>
          <w:sz w:val="28"/>
          <w:szCs w:val="28"/>
        </w:rPr>
      </w:pPr>
      <w:r w:rsidRPr="00A76B69">
        <w:rPr>
          <w:rFonts w:cs="Calibri"/>
          <w:b/>
          <w:bCs/>
          <w:sz w:val="28"/>
          <w:szCs w:val="28"/>
        </w:rPr>
        <w:t xml:space="preserve">Case Study: A real-world example of </w:t>
      </w:r>
      <w:r w:rsidR="0050345C" w:rsidRPr="00A76B69">
        <w:rPr>
          <w:rFonts w:cs="Calibri"/>
          <w:b/>
          <w:bCs/>
          <w:sz w:val="28"/>
          <w:szCs w:val="28"/>
        </w:rPr>
        <w:t>why enforc</w:t>
      </w:r>
      <w:r w:rsidR="00D7292A" w:rsidRPr="00A76B69">
        <w:rPr>
          <w:rFonts w:cs="Calibri"/>
          <w:b/>
          <w:bCs/>
          <w:sz w:val="28"/>
          <w:szCs w:val="28"/>
        </w:rPr>
        <w:t>ement mechanisms are necessary for the No Surprises Act</w:t>
      </w:r>
    </w:p>
    <w:p w14:paraId="0A715388" w14:textId="7E546438" w:rsidR="00F46090" w:rsidRPr="00B95C27" w:rsidRDefault="00C863C7" w:rsidP="005B72BC">
      <w:pPr>
        <w:spacing w:line="240" w:lineRule="auto"/>
        <w:rPr>
          <w:rFonts w:cs="Calibri"/>
          <w:b/>
          <w:bCs/>
          <w:sz w:val="22"/>
        </w:rPr>
      </w:pPr>
      <w:r w:rsidRPr="00B95C27">
        <w:rPr>
          <w:rFonts w:cs="Calibri"/>
          <w:b/>
          <w:bCs/>
          <w:sz w:val="22"/>
        </w:rPr>
        <w:t>Overview</w:t>
      </w:r>
    </w:p>
    <w:p w14:paraId="56083F2F" w14:textId="62520BEA" w:rsidR="005B72BC" w:rsidRPr="00B95C27" w:rsidRDefault="004577A8" w:rsidP="005B72BC">
      <w:pPr>
        <w:spacing w:line="240" w:lineRule="auto"/>
        <w:rPr>
          <w:rFonts w:cs="Calibri"/>
          <w:sz w:val="22"/>
        </w:rPr>
      </w:pPr>
      <w:r w:rsidRPr="00B95C27">
        <w:rPr>
          <w:rFonts w:cs="Calibri"/>
          <w:sz w:val="22"/>
        </w:rPr>
        <w:t>In 20</w:t>
      </w:r>
      <w:r w:rsidR="00AB4E62" w:rsidRPr="00B95C27">
        <w:rPr>
          <w:rFonts w:cs="Calibri"/>
          <w:sz w:val="22"/>
        </w:rPr>
        <w:t>25</w:t>
      </w:r>
      <w:r w:rsidR="00DB34CF" w:rsidRPr="00B95C27">
        <w:rPr>
          <w:rFonts w:cs="Calibri"/>
          <w:sz w:val="22"/>
        </w:rPr>
        <w:t xml:space="preserve">, </w:t>
      </w:r>
      <w:r w:rsidR="00D25BD9" w:rsidRPr="00B95C27">
        <w:rPr>
          <w:rFonts w:cs="Calibri"/>
          <w:sz w:val="22"/>
        </w:rPr>
        <w:t>a private</w:t>
      </w:r>
      <w:r w:rsidR="008336D6" w:rsidRPr="00B95C27">
        <w:rPr>
          <w:rFonts w:cs="Calibri"/>
          <w:sz w:val="22"/>
        </w:rPr>
        <w:t xml:space="preserve"> practice of </w:t>
      </w:r>
      <w:r w:rsidR="00FA79F1">
        <w:rPr>
          <w:rFonts w:cs="Calibri"/>
          <w:sz w:val="22"/>
        </w:rPr>
        <w:t xml:space="preserve">approximately </w:t>
      </w:r>
      <w:r w:rsidR="00695E01" w:rsidRPr="00B95C27">
        <w:rPr>
          <w:rFonts w:cs="Calibri"/>
          <w:sz w:val="22"/>
        </w:rPr>
        <w:t xml:space="preserve">300 </w:t>
      </w:r>
      <w:r w:rsidR="00952B10" w:rsidRPr="00B95C27">
        <w:rPr>
          <w:rFonts w:cs="Calibri"/>
          <w:sz w:val="22"/>
        </w:rPr>
        <w:t>radiologists</w:t>
      </w:r>
      <w:r w:rsidR="00695E01" w:rsidRPr="00B95C27">
        <w:rPr>
          <w:rFonts w:cs="Calibri"/>
          <w:sz w:val="22"/>
        </w:rPr>
        <w:t xml:space="preserve"> </w:t>
      </w:r>
      <w:r w:rsidR="00044547" w:rsidRPr="00B95C27">
        <w:rPr>
          <w:rFonts w:cs="Calibri"/>
          <w:sz w:val="22"/>
        </w:rPr>
        <w:t xml:space="preserve">resigned to go </w:t>
      </w:r>
      <w:r w:rsidR="00C863C7" w:rsidRPr="00B95C27">
        <w:rPr>
          <w:rFonts w:cs="Calibri"/>
          <w:sz w:val="22"/>
        </w:rPr>
        <w:t>out of network with Blue Cross Blue Shield</w:t>
      </w:r>
      <w:r w:rsidR="002E1297">
        <w:rPr>
          <w:rFonts w:cs="Calibri"/>
          <w:sz w:val="22"/>
        </w:rPr>
        <w:t xml:space="preserve"> (BCBS)</w:t>
      </w:r>
      <w:r w:rsidR="00C863C7" w:rsidRPr="00B95C27">
        <w:rPr>
          <w:rFonts w:cs="Calibri"/>
          <w:sz w:val="22"/>
        </w:rPr>
        <w:t xml:space="preserve"> after 3+ years of unsuccessful negotiations due to below-market reimbursement and lack of meaningful engagement</w:t>
      </w:r>
      <w:r w:rsidR="00585DE0" w:rsidRPr="00B95C27">
        <w:rPr>
          <w:rFonts w:cs="Calibri"/>
          <w:sz w:val="22"/>
        </w:rPr>
        <w:t xml:space="preserve"> by the payer</w:t>
      </w:r>
      <w:r w:rsidR="00C863C7" w:rsidRPr="00B95C27">
        <w:rPr>
          <w:rFonts w:cs="Calibri"/>
          <w:sz w:val="22"/>
        </w:rPr>
        <w:t>.</w:t>
      </w:r>
      <w:r w:rsidR="005B72BC" w:rsidRPr="00B95C27">
        <w:rPr>
          <w:rFonts w:cs="Calibri"/>
          <w:sz w:val="22"/>
        </w:rPr>
        <w:t xml:space="preserve"> </w:t>
      </w:r>
      <w:r w:rsidR="00585DE0" w:rsidRPr="00B95C27">
        <w:rPr>
          <w:rFonts w:cs="Calibri"/>
          <w:sz w:val="22"/>
        </w:rPr>
        <w:t>D</w:t>
      </w:r>
      <w:r w:rsidR="005B72BC" w:rsidRPr="00B95C27">
        <w:rPr>
          <w:rFonts w:cs="Calibri"/>
          <w:sz w:val="22"/>
        </w:rPr>
        <w:t>uring those negotiations</w:t>
      </w:r>
      <w:r w:rsidR="00585DE0" w:rsidRPr="00B95C27">
        <w:rPr>
          <w:rFonts w:cs="Calibri"/>
          <w:sz w:val="22"/>
        </w:rPr>
        <w:t>, the practice</w:t>
      </w:r>
      <w:r w:rsidR="001F3763" w:rsidRPr="00B95C27">
        <w:rPr>
          <w:rFonts w:cs="Calibri"/>
          <w:sz w:val="22"/>
        </w:rPr>
        <w:t>’s</w:t>
      </w:r>
      <w:r w:rsidR="00585DE0" w:rsidRPr="00B95C27">
        <w:rPr>
          <w:rFonts w:cs="Calibri"/>
          <w:sz w:val="22"/>
        </w:rPr>
        <w:t xml:space="preserve"> request</w:t>
      </w:r>
      <w:r w:rsidR="005B72BC" w:rsidRPr="00B95C27">
        <w:rPr>
          <w:rFonts w:cs="Calibri"/>
          <w:sz w:val="22"/>
        </w:rPr>
        <w:t xml:space="preserve"> for an annual cost of living increase based on the consumer price index</w:t>
      </w:r>
      <w:r w:rsidR="00705EB5">
        <w:rPr>
          <w:rFonts w:cs="Calibri"/>
          <w:sz w:val="22"/>
        </w:rPr>
        <w:t xml:space="preserve"> </w:t>
      </w:r>
      <w:r w:rsidR="001F3763" w:rsidRPr="00B95C27">
        <w:rPr>
          <w:rFonts w:cs="Calibri"/>
          <w:sz w:val="22"/>
        </w:rPr>
        <w:t>was denied</w:t>
      </w:r>
      <w:r w:rsidR="005B72BC" w:rsidRPr="00B95C27">
        <w:rPr>
          <w:rFonts w:cs="Calibri"/>
          <w:sz w:val="22"/>
        </w:rPr>
        <w:t>.</w:t>
      </w:r>
    </w:p>
    <w:p w14:paraId="389E33A4" w14:textId="053201C6" w:rsidR="00F46090" w:rsidRPr="00B95C27" w:rsidRDefault="00C863C7" w:rsidP="005B72BC">
      <w:pPr>
        <w:spacing w:line="240" w:lineRule="auto"/>
        <w:rPr>
          <w:rFonts w:cs="Calibri"/>
          <w:sz w:val="22"/>
        </w:rPr>
      </w:pPr>
      <w:r w:rsidRPr="00B95C27">
        <w:rPr>
          <w:rFonts w:cs="Calibri"/>
          <w:sz w:val="22"/>
        </w:rPr>
        <w:t xml:space="preserve">Since June 2025, </w:t>
      </w:r>
      <w:r w:rsidR="001F3763" w:rsidRPr="00B95C27">
        <w:rPr>
          <w:rFonts w:cs="Calibri"/>
          <w:sz w:val="22"/>
        </w:rPr>
        <w:t xml:space="preserve">the practice </w:t>
      </w:r>
      <w:r w:rsidRPr="00B95C27">
        <w:rPr>
          <w:rFonts w:cs="Calibri"/>
          <w:sz w:val="22"/>
        </w:rPr>
        <w:t xml:space="preserve">has relied on the No Surprises Act (NSA) </w:t>
      </w:r>
      <w:r w:rsidR="001F3763" w:rsidRPr="00B95C27">
        <w:rPr>
          <w:rFonts w:cs="Calibri"/>
          <w:sz w:val="22"/>
        </w:rPr>
        <w:t>independent dispute resolution (</w:t>
      </w:r>
      <w:r w:rsidRPr="00B95C27">
        <w:rPr>
          <w:rFonts w:cs="Calibri"/>
          <w:sz w:val="22"/>
        </w:rPr>
        <w:t>IDR</w:t>
      </w:r>
      <w:r w:rsidR="001F3763" w:rsidRPr="00B95C27">
        <w:rPr>
          <w:rFonts w:cs="Calibri"/>
          <w:sz w:val="22"/>
        </w:rPr>
        <w:t>)</w:t>
      </w:r>
      <w:r w:rsidRPr="00B95C27">
        <w:rPr>
          <w:rFonts w:cs="Calibri"/>
          <w:sz w:val="22"/>
        </w:rPr>
        <w:t xml:space="preserve"> process</w:t>
      </w:r>
      <w:r w:rsidR="001F3763" w:rsidRPr="00B95C27">
        <w:rPr>
          <w:rFonts w:cs="Calibri"/>
          <w:sz w:val="22"/>
        </w:rPr>
        <w:t xml:space="preserve"> to resolve payment</w:t>
      </w:r>
      <w:r w:rsidR="00406419" w:rsidRPr="00B95C27">
        <w:rPr>
          <w:rFonts w:cs="Calibri"/>
          <w:sz w:val="22"/>
        </w:rPr>
        <w:t xml:space="preserve"> for out of network claims.</w:t>
      </w:r>
      <w:r w:rsidRPr="00B95C27">
        <w:rPr>
          <w:rFonts w:cs="Calibri"/>
          <w:sz w:val="22"/>
        </w:rPr>
        <w:t xml:space="preserve"> </w:t>
      </w:r>
      <w:r w:rsidR="00406419" w:rsidRPr="00B95C27">
        <w:rPr>
          <w:rFonts w:cs="Calibri"/>
          <w:sz w:val="22"/>
        </w:rPr>
        <w:t xml:space="preserve">Unfortunately, </w:t>
      </w:r>
      <w:r w:rsidRPr="00B95C27">
        <w:rPr>
          <w:rFonts w:cs="Calibri"/>
          <w:sz w:val="22"/>
        </w:rPr>
        <w:t>payer conduct has exposed serious enforcement gaps</w:t>
      </w:r>
      <w:r w:rsidR="00406419" w:rsidRPr="00B95C27">
        <w:rPr>
          <w:rFonts w:cs="Calibri"/>
          <w:sz w:val="22"/>
        </w:rPr>
        <w:t xml:space="preserve"> in the NSA</w:t>
      </w:r>
      <w:r w:rsidRPr="00B95C27">
        <w:rPr>
          <w:rFonts w:cs="Calibri"/>
          <w:sz w:val="22"/>
        </w:rPr>
        <w:t>.</w:t>
      </w:r>
    </w:p>
    <w:p w14:paraId="51A3EB58" w14:textId="6A7AB6EF" w:rsidR="00F46090" w:rsidRPr="00B95C27" w:rsidRDefault="00C863C7" w:rsidP="005B72BC">
      <w:pPr>
        <w:spacing w:line="240" w:lineRule="auto"/>
        <w:rPr>
          <w:rFonts w:cs="Calibri"/>
          <w:b/>
          <w:bCs/>
          <w:sz w:val="22"/>
        </w:rPr>
      </w:pPr>
      <w:r w:rsidRPr="00B95C27">
        <w:rPr>
          <w:rFonts w:cs="Calibri"/>
          <w:b/>
          <w:bCs/>
          <w:sz w:val="22"/>
        </w:rPr>
        <w:t xml:space="preserve">Key Issues </w:t>
      </w:r>
    </w:p>
    <w:p w14:paraId="47BE959E" w14:textId="363E88B5" w:rsidR="00F46090" w:rsidRPr="00ED0DBC" w:rsidRDefault="002E1297" w:rsidP="00ED0DBC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>
        <w:rPr>
          <w:rFonts w:cs="Calibri"/>
          <w:sz w:val="22"/>
        </w:rPr>
        <w:t>BCBS</w:t>
      </w:r>
      <w:r w:rsidR="00EA5EC4">
        <w:rPr>
          <w:rFonts w:cs="Calibri"/>
          <w:sz w:val="22"/>
        </w:rPr>
        <w:t xml:space="preserve"> </w:t>
      </w:r>
      <w:r w:rsidR="008E1F03">
        <w:rPr>
          <w:rFonts w:cs="Calibri"/>
          <w:sz w:val="22"/>
        </w:rPr>
        <w:t>is faili</w:t>
      </w:r>
      <w:r w:rsidR="00382ED7">
        <w:rPr>
          <w:rFonts w:cs="Calibri"/>
          <w:sz w:val="22"/>
        </w:rPr>
        <w:t>ng</w:t>
      </w:r>
      <w:r w:rsidR="00C863C7" w:rsidRPr="00ED0DBC">
        <w:rPr>
          <w:rFonts w:cs="Calibri"/>
          <w:sz w:val="22"/>
        </w:rPr>
        <w:t xml:space="preserve"> to </w:t>
      </w:r>
      <w:r w:rsidR="00CD2EBB">
        <w:rPr>
          <w:rFonts w:cs="Calibri"/>
          <w:sz w:val="22"/>
        </w:rPr>
        <w:t>p</w:t>
      </w:r>
      <w:r w:rsidR="00C863C7" w:rsidRPr="00ED0DBC">
        <w:rPr>
          <w:rFonts w:cs="Calibri"/>
          <w:sz w:val="22"/>
        </w:rPr>
        <w:t xml:space="preserve">ay </w:t>
      </w:r>
      <w:r w:rsidR="00B81146">
        <w:rPr>
          <w:rFonts w:cs="Calibri"/>
          <w:sz w:val="22"/>
        </w:rPr>
        <w:t>a</w:t>
      </w:r>
      <w:r w:rsidR="00A55276">
        <w:rPr>
          <w:rFonts w:cs="Calibri"/>
          <w:sz w:val="22"/>
        </w:rPr>
        <w:t>r</w:t>
      </w:r>
      <w:r w:rsidR="00C863C7" w:rsidRPr="00ED0DBC">
        <w:rPr>
          <w:rFonts w:cs="Calibri"/>
          <w:sz w:val="22"/>
        </w:rPr>
        <w:t xml:space="preserve">bitration </w:t>
      </w:r>
      <w:r w:rsidR="006E629B">
        <w:rPr>
          <w:rFonts w:cs="Calibri"/>
          <w:sz w:val="22"/>
        </w:rPr>
        <w:t>a</w:t>
      </w:r>
      <w:r w:rsidR="00C863C7" w:rsidRPr="00ED0DBC">
        <w:rPr>
          <w:rFonts w:cs="Calibri"/>
          <w:sz w:val="22"/>
        </w:rPr>
        <w:t>wards</w:t>
      </w:r>
      <w:r w:rsidR="007C0D01">
        <w:rPr>
          <w:rFonts w:cs="Calibri"/>
          <w:sz w:val="22"/>
        </w:rPr>
        <w:t xml:space="preserve">, </w:t>
      </w:r>
      <w:r w:rsidR="0078082C">
        <w:rPr>
          <w:rFonts w:cs="Calibri"/>
          <w:sz w:val="22"/>
        </w:rPr>
        <w:t>despite bi</w:t>
      </w:r>
      <w:r w:rsidR="00A60E75">
        <w:rPr>
          <w:rFonts w:cs="Calibri"/>
          <w:sz w:val="22"/>
        </w:rPr>
        <w:t xml:space="preserve">nding </w:t>
      </w:r>
      <w:r w:rsidR="000559A5">
        <w:rPr>
          <w:rFonts w:cs="Calibri"/>
          <w:sz w:val="22"/>
        </w:rPr>
        <w:t>ID</w:t>
      </w:r>
      <w:r w:rsidR="00AE1B7E">
        <w:rPr>
          <w:rFonts w:cs="Calibri"/>
          <w:sz w:val="22"/>
        </w:rPr>
        <w:t>R decisi</w:t>
      </w:r>
      <w:r w:rsidR="00616CC4">
        <w:rPr>
          <w:rFonts w:cs="Calibri"/>
          <w:sz w:val="22"/>
        </w:rPr>
        <w:t>ons</w:t>
      </w:r>
    </w:p>
    <w:p w14:paraId="36588EFA" w14:textId="6D7CD828" w:rsidR="00B71E07" w:rsidRDefault="00707042" w:rsidP="00ED0DBC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>
        <w:rPr>
          <w:rFonts w:cs="Calibri"/>
          <w:sz w:val="22"/>
        </w:rPr>
        <w:t>Ther</w:t>
      </w:r>
      <w:r w:rsidR="00A904D1">
        <w:rPr>
          <w:rFonts w:cs="Calibri"/>
          <w:sz w:val="22"/>
        </w:rPr>
        <w:t>e is an ou</w:t>
      </w:r>
      <w:r w:rsidR="00005734">
        <w:rPr>
          <w:rFonts w:cs="Calibri"/>
          <w:sz w:val="22"/>
        </w:rPr>
        <w:t xml:space="preserve">tstanding </w:t>
      </w:r>
      <w:r w:rsidR="00D52791">
        <w:rPr>
          <w:rFonts w:cs="Calibri"/>
          <w:sz w:val="22"/>
        </w:rPr>
        <w:t>balance o</w:t>
      </w:r>
      <w:r w:rsidR="00544865">
        <w:rPr>
          <w:rFonts w:cs="Calibri"/>
          <w:sz w:val="22"/>
        </w:rPr>
        <w:t>f $</w:t>
      </w:r>
      <w:r w:rsidR="00335A0A">
        <w:rPr>
          <w:rFonts w:cs="Calibri"/>
          <w:sz w:val="22"/>
        </w:rPr>
        <w:t xml:space="preserve">3.5 </w:t>
      </w:r>
      <w:r w:rsidR="00595EAA">
        <w:rPr>
          <w:rFonts w:cs="Calibri"/>
          <w:sz w:val="22"/>
        </w:rPr>
        <w:t xml:space="preserve">million </w:t>
      </w:r>
      <w:r w:rsidR="00FD4EDF">
        <w:rPr>
          <w:rFonts w:cs="Calibri"/>
          <w:sz w:val="22"/>
        </w:rPr>
        <w:t>dollars</w:t>
      </w:r>
      <w:r w:rsidR="00924996">
        <w:rPr>
          <w:rFonts w:cs="Calibri"/>
          <w:sz w:val="22"/>
        </w:rPr>
        <w:t xml:space="preserve"> (</w:t>
      </w:r>
      <w:r w:rsidR="002122AB">
        <w:rPr>
          <w:rFonts w:cs="Calibri"/>
          <w:sz w:val="22"/>
        </w:rPr>
        <w:t xml:space="preserve">and </w:t>
      </w:r>
      <w:proofErr w:type="gramStart"/>
      <w:r w:rsidR="002122AB">
        <w:rPr>
          <w:rFonts w:cs="Calibri"/>
          <w:sz w:val="22"/>
        </w:rPr>
        <w:t>growing</w:t>
      </w:r>
      <w:proofErr w:type="gramEnd"/>
      <w:r w:rsidR="0014230D">
        <w:rPr>
          <w:rFonts w:cs="Calibri"/>
          <w:sz w:val="22"/>
        </w:rPr>
        <w:t>)</w:t>
      </w:r>
      <w:r w:rsidR="00FD4EDF">
        <w:rPr>
          <w:rFonts w:cs="Calibri"/>
          <w:sz w:val="22"/>
        </w:rPr>
        <w:t xml:space="preserve"> </w:t>
      </w:r>
      <w:r w:rsidR="0034762D">
        <w:rPr>
          <w:rFonts w:cs="Calibri"/>
          <w:sz w:val="22"/>
        </w:rPr>
        <w:t>owe</w:t>
      </w:r>
      <w:r w:rsidR="003C7CD9">
        <w:rPr>
          <w:rFonts w:cs="Calibri"/>
          <w:sz w:val="22"/>
        </w:rPr>
        <w:t>d to the</w:t>
      </w:r>
      <w:r w:rsidR="00637602">
        <w:rPr>
          <w:rFonts w:cs="Calibri"/>
          <w:sz w:val="22"/>
        </w:rPr>
        <w:t xml:space="preserve"> prac</w:t>
      </w:r>
      <w:r w:rsidR="005A65DD">
        <w:rPr>
          <w:rFonts w:cs="Calibri"/>
          <w:sz w:val="22"/>
        </w:rPr>
        <w:t>ti</w:t>
      </w:r>
      <w:r w:rsidR="00B932E7">
        <w:rPr>
          <w:rFonts w:cs="Calibri"/>
          <w:sz w:val="22"/>
        </w:rPr>
        <w:t>ce</w:t>
      </w:r>
    </w:p>
    <w:p w14:paraId="156DF054" w14:textId="3A18F347" w:rsidR="00F46090" w:rsidRPr="005F49C5" w:rsidRDefault="00C863C7" w:rsidP="005F49C5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ED0DBC">
        <w:rPr>
          <w:rFonts w:cs="Calibri"/>
          <w:sz w:val="22"/>
        </w:rPr>
        <w:t>Less than 5% of IDR awards have been paid</w:t>
      </w:r>
      <w:r w:rsidR="00995FB9" w:rsidRPr="00ED0DBC">
        <w:rPr>
          <w:rFonts w:cs="Calibri"/>
          <w:sz w:val="22"/>
        </w:rPr>
        <w:t xml:space="preserve"> to the practice</w:t>
      </w:r>
    </w:p>
    <w:p w14:paraId="1AFA4FA0" w14:textId="327C1C79" w:rsidR="00F46090" w:rsidRPr="00ED0DBC" w:rsidRDefault="00995FB9" w:rsidP="00ED0DBC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ED0DBC">
        <w:rPr>
          <w:rFonts w:cs="Calibri"/>
          <w:sz w:val="22"/>
        </w:rPr>
        <w:t>The r</w:t>
      </w:r>
      <w:r w:rsidR="00C863C7" w:rsidRPr="00ED0DBC">
        <w:rPr>
          <w:rFonts w:cs="Calibri"/>
          <w:sz w:val="22"/>
        </w:rPr>
        <w:t>equired post-IDR payment timeline</w:t>
      </w:r>
      <w:r w:rsidR="00374A69" w:rsidRPr="00ED0DBC">
        <w:rPr>
          <w:rFonts w:cs="Calibri"/>
          <w:sz w:val="22"/>
        </w:rPr>
        <w:t xml:space="preserve"> of 30</w:t>
      </w:r>
      <w:r w:rsidR="001C5C21">
        <w:rPr>
          <w:rFonts w:cs="Calibri"/>
          <w:sz w:val="22"/>
        </w:rPr>
        <w:t xml:space="preserve"> </w:t>
      </w:r>
      <w:r w:rsidR="00374A69" w:rsidRPr="00ED0DBC">
        <w:rPr>
          <w:rFonts w:cs="Calibri"/>
          <w:sz w:val="22"/>
        </w:rPr>
        <w:t>days</w:t>
      </w:r>
      <w:r w:rsidR="00C863C7" w:rsidRPr="00ED0DBC">
        <w:rPr>
          <w:rFonts w:cs="Calibri"/>
          <w:sz w:val="22"/>
        </w:rPr>
        <w:t xml:space="preserve"> </w:t>
      </w:r>
      <w:r w:rsidR="00374A69" w:rsidRPr="00ED0DBC">
        <w:rPr>
          <w:rFonts w:cs="Calibri"/>
          <w:sz w:val="22"/>
        </w:rPr>
        <w:t xml:space="preserve">is </w:t>
      </w:r>
      <w:r w:rsidR="00C863C7" w:rsidRPr="00ED0DBC">
        <w:rPr>
          <w:rFonts w:cs="Calibri"/>
          <w:sz w:val="22"/>
        </w:rPr>
        <w:t>routinely ignored</w:t>
      </w:r>
    </w:p>
    <w:p w14:paraId="0FCD7210" w14:textId="51773712" w:rsidR="00F46090" w:rsidRPr="00ED0DBC" w:rsidRDefault="00374A69" w:rsidP="00ED0DBC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ED0DBC">
        <w:rPr>
          <w:rFonts w:cs="Calibri"/>
          <w:sz w:val="22"/>
        </w:rPr>
        <w:t>The practice</w:t>
      </w:r>
      <w:r w:rsidR="009C1419" w:rsidRPr="00ED0DBC">
        <w:rPr>
          <w:rFonts w:cs="Calibri"/>
          <w:sz w:val="22"/>
        </w:rPr>
        <w:t xml:space="preserve"> </w:t>
      </w:r>
      <w:r w:rsidR="00B40E4C" w:rsidRPr="00ED0DBC">
        <w:rPr>
          <w:rFonts w:cs="Calibri"/>
          <w:sz w:val="22"/>
        </w:rPr>
        <w:t>has been</w:t>
      </w:r>
      <w:r w:rsidR="009C1419" w:rsidRPr="00ED0DBC">
        <w:rPr>
          <w:rFonts w:cs="Calibri"/>
          <w:sz w:val="22"/>
        </w:rPr>
        <w:t xml:space="preserve"> forced to</w:t>
      </w:r>
      <w:r w:rsidRPr="00ED0DBC">
        <w:rPr>
          <w:rFonts w:cs="Calibri"/>
          <w:sz w:val="22"/>
        </w:rPr>
        <w:t xml:space="preserve"> </w:t>
      </w:r>
      <w:r w:rsidR="00065DD7" w:rsidRPr="00ED0DBC">
        <w:rPr>
          <w:rFonts w:cs="Calibri"/>
          <w:sz w:val="22"/>
        </w:rPr>
        <w:t>e</w:t>
      </w:r>
      <w:r w:rsidR="002709A1" w:rsidRPr="00ED0DBC">
        <w:rPr>
          <w:rFonts w:cs="Calibri"/>
          <w:sz w:val="22"/>
        </w:rPr>
        <w:t>l</w:t>
      </w:r>
      <w:r w:rsidR="00354973" w:rsidRPr="00ED0DBC">
        <w:rPr>
          <w:rFonts w:cs="Calibri"/>
          <w:sz w:val="22"/>
        </w:rPr>
        <w:t>evate</w:t>
      </w:r>
      <w:r w:rsidR="001570FE">
        <w:rPr>
          <w:rFonts w:cs="Calibri"/>
          <w:sz w:val="22"/>
        </w:rPr>
        <w:t xml:space="preserve"> thi</w:t>
      </w:r>
      <w:r w:rsidR="001D7449">
        <w:rPr>
          <w:rFonts w:cs="Calibri"/>
          <w:sz w:val="22"/>
        </w:rPr>
        <w:t xml:space="preserve">s </w:t>
      </w:r>
      <w:r w:rsidR="00EF6935">
        <w:rPr>
          <w:rFonts w:cs="Calibri"/>
          <w:sz w:val="22"/>
        </w:rPr>
        <w:t>non</w:t>
      </w:r>
      <w:r w:rsidR="00254D42">
        <w:rPr>
          <w:rFonts w:cs="Calibri"/>
          <w:sz w:val="22"/>
        </w:rPr>
        <w:t>-paymen</w:t>
      </w:r>
      <w:r w:rsidR="00533153">
        <w:rPr>
          <w:rFonts w:cs="Calibri"/>
          <w:sz w:val="22"/>
        </w:rPr>
        <w:t>t prob</w:t>
      </w:r>
      <w:r w:rsidR="008F1038">
        <w:rPr>
          <w:rFonts w:cs="Calibri"/>
          <w:sz w:val="22"/>
        </w:rPr>
        <w:t>lem</w:t>
      </w:r>
      <w:r w:rsidR="00440933" w:rsidRPr="00ED0DBC">
        <w:rPr>
          <w:rFonts w:cs="Calibri"/>
          <w:sz w:val="22"/>
        </w:rPr>
        <w:t>,</w:t>
      </w:r>
      <w:r w:rsidR="00C863C7" w:rsidRPr="00ED0DBC">
        <w:rPr>
          <w:rFonts w:cs="Calibri"/>
          <w:sz w:val="22"/>
        </w:rPr>
        <w:t xml:space="preserve"> simply to collect awarded amounts</w:t>
      </w:r>
      <w:r w:rsidR="00440933" w:rsidRPr="00ED0DBC">
        <w:rPr>
          <w:rFonts w:cs="Calibri"/>
          <w:sz w:val="22"/>
        </w:rPr>
        <w:t>, including filing complaints with CMS</w:t>
      </w:r>
      <w:r w:rsidR="00D12365">
        <w:rPr>
          <w:rFonts w:cs="Calibri"/>
          <w:sz w:val="22"/>
        </w:rPr>
        <w:t xml:space="preserve"> </w:t>
      </w:r>
      <w:r w:rsidR="005100AB">
        <w:rPr>
          <w:rFonts w:cs="Calibri"/>
          <w:sz w:val="22"/>
        </w:rPr>
        <w:t>and meetin</w:t>
      </w:r>
      <w:r w:rsidR="00062007">
        <w:rPr>
          <w:rFonts w:cs="Calibri"/>
          <w:sz w:val="22"/>
        </w:rPr>
        <w:t>g with</w:t>
      </w:r>
      <w:r w:rsidR="00697D4B">
        <w:rPr>
          <w:rFonts w:cs="Calibri"/>
          <w:sz w:val="22"/>
        </w:rPr>
        <w:t xml:space="preserve"> </w:t>
      </w:r>
      <w:r w:rsidR="00D65390">
        <w:rPr>
          <w:rFonts w:cs="Calibri"/>
          <w:sz w:val="22"/>
        </w:rPr>
        <w:t>sta</w:t>
      </w:r>
      <w:r w:rsidR="008C2994">
        <w:rPr>
          <w:rFonts w:cs="Calibri"/>
          <w:sz w:val="22"/>
        </w:rPr>
        <w:t>ff at CCI</w:t>
      </w:r>
      <w:r w:rsidR="00635FCB">
        <w:rPr>
          <w:rFonts w:cs="Calibri"/>
          <w:sz w:val="22"/>
        </w:rPr>
        <w:t>IO</w:t>
      </w:r>
    </w:p>
    <w:p w14:paraId="700B6DDA" w14:textId="6A94C3C4" w:rsidR="00F46090" w:rsidRPr="00ED0DBC" w:rsidRDefault="00C863C7" w:rsidP="00ED0DBC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ED0DBC">
        <w:rPr>
          <w:rFonts w:cs="Calibri"/>
          <w:sz w:val="22"/>
        </w:rPr>
        <w:t xml:space="preserve">Missing/inconsistent codes </w:t>
      </w:r>
      <w:r w:rsidR="00CC1D05">
        <w:rPr>
          <w:rFonts w:cs="Calibri"/>
          <w:sz w:val="22"/>
        </w:rPr>
        <w:t xml:space="preserve">lead to difficulties determining </w:t>
      </w:r>
      <w:r w:rsidR="00470BD4" w:rsidRPr="00ED0DBC">
        <w:rPr>
          <w:rFonts w:cs="Calibri"/>
          <w:sz w:val="22"/>
        </w:rPr>
        <w:t>if a claim should go through the</w:t>
      </w:r>
      <w:r w:rsidRPr="00ED0DBC">
        <w:rPr>
          <w:rFonts w:cs="Calibri"/>
          <w:sz w:val="22"/>
        </w:rPr>
        <w:t xml:space="preserve"> federal </w:t>
      </w:r>
      <w:r w:rsidR="00CC1D05">
        <w:rPr>
          <w:rFonts w:cs="Calibri"/>
          <w:sz w:val="22"/>
        </w:rPr>
        <w:t xml:space="preserve">or </w:t>
      </w:r>
      <w:r w:rsidRPr="00ED0DBC">
        <w:rPr>
          <w:rFonts w:cs="Calibri"/>
          <w:sz w:val="22"/>
        </w:rPr>
        <w:t>state IDR pathway</w:t>
      </w:r>
      <w:r w:rsidR="00952B10">
        <w:rPr>
          <w:rFonts w:cs="Calibri"/>
          <w:sz w:val="22"/>
        </w:rPr>
        <w:t>; o</w:t>
      </w:r>
      <w:r w:rsidR="00470BD4" w:rsidRPr="00ED0DBC">
        <w:rPr>
          <w:rFonts w:cs="Calibri"/>
          <w:sz w:val="22"/>
        </w:rPr>
        <w:t>nly the payer has this information</w:t>
      </w:r>
    </w:p>
    <w:p w14:paraId="01822768" w14:textId="6A17995D" w:rsidR="00F46090" w:rsidRPr="00ED0DBC" w:rsidRDefault="00161B52" w:rsidP="00ED0DBC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ED0DBC">
        <w:rPr>
          <w:rFonts w:cs="Calibri"/>
          <w:sz w:val="22"/>
        </w:rPr>
        <w:t>Lack of clarity around claim eligibility c</w:t>
      </w:r>
      <w:r w:rsidR="00C863C7" w:rsidRPr="00ED0DBC">
        <w:rPr>
          <w:rFonts w:cs="Calibri"/>
          <w:sz w:val="22"/>
        </w:rPr>
        <w:t>auses delays, re</w:t>
      </w:r>
      <w:r w:rsidRPr="00ED0DBC">
        <w:rPr>
          <w:rFonts w:cs="Calibri"/>
          <w:sz w:val="22"/>
        </w:rPr>
        <w:t>submission</w:t>
      </w:r>
      <w:r w:rsidR="00C863C7" w:rsidRPr="00ED0DBC">
        <w:rPr>
          <w:rFonts w:cs="Calibri"/>
          <w:sz w:val="22"/>
        </w:rPr>
        <w:t>, and risk of missed deadlines</w:t>
      </w:r>
    </w:p>
    <w:p w14:paraId="03437B47" w14:textId="77777777" w:rsidR="00F46090" w:rsidRPr="00B95C27" w:rsidRDefault="00C863C7" w:rsidP="005B72BC">
      <w:pPr>
        <w:spacing w:line="240" w:lineRule="auto"/>
        <w:rPr>
          <w:rFonts w:cs="Calibri"/>
          <w:b/>
          <w:bCs/>
          <w:sz w:val="22"/>
        </w:rPr>
      </w:pPr>
      <w:r w:rsidRPr="00B95C27">
        <w:rPr>
          <w:rFonts w:cs="Calibri"/>
          <w:b/>
          <w:bCs/>
          <w:sz w:val="22"/>
        </w:rPr>
        <w:t>Administrative Burden</w:t>
      </w:r>
    </w:p>
    <w:p w14:paraId="4EDD0EA9" w14:textId="7A77050C" w:rsidR="00F46090" w:rsidRPr="004A3B79" w:rsidRDefault="00C863C7" w:rsidP="004A3B79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4A3B79">
        <w:rPr>
          <w:rFonts w:cs="Calibri"/>
          <w:sz w:val="22"/>
        </w:rPr>
        <w:t>Increased workload: tracking, disputes, collections</w:t>
      </w:r>
    </w:p>
    <w:p w14:paraId="11884842" w14:textId="5753CF66" w:rsidR="00F46090" w:rsidRPr="004A3B79" w:rsidRDefault="00C863C7" w:rsidP="004A3B79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4A3B79">
        <w:rPr>
          <w:rFonts w:cs="Calibri"/>
          <w:sz w:val="22"/>
        </w:rPr>
        <w:t>Resources diverted from patient care</w:t>
      </w:r>
    </w:p>
    <w:p w14:paraId="0A964266" w14:textId="07D63B77" w:rsidR="007F2A83" w:rsidRPr="004A3B79" w:rsidRDefault="00132501" w:rsidP="004A3B79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4A3B79">
        <w:rPr>
          <w:rFonts w:cs="Calibri"/>
          <w:sz w:val="22"/>
        </w:rPr>
        <w:t>Adver</w:t>
      </w:r>
      <w:r w:rsidR="00A65474" w:rsidRPr="004A3B79">
        <w:rPr>
          <w:rFonts w:cs="Calibri"/>
          <w:sz w:val="22"/>
        </w:rPr>
        <w:t>se fin</w:t>
      </w:r>
      <w:r w:rsidR="00200DBA" w:rsidRPr="004A3B79">
        <w:rPr>
          <w:rFonts w:cs="Calibri"/>
          <w:sz w:val="22"/>
        </w:rPr>
        <w:t>ancial c</w:t>
      </w:r>
      <w:r w:rsidR="00181FCE" w:rsidRPr="004A3B79">
        <w:rPr>
          <w:rFonts w:cs="Calibri"/>
          <w:sz w:val="22"/>
        </w:rPr>
        <w:t>ons</w:t>
      </w:r>
      <w:r w:rsidR="00920B4F" w:rsidRPr="004A3B79">
        <w:rPr>
          <w:rFonts w:cs="Calibri"/>
          <w:sz w:val="22"/>
        </w:rPr>
        <w:t>e</w:t>
      </w:r>
      <w:r w:rsidR="00EB28B6" w:rsidRPr="004A3B79">
        <w:rPr>
          <w:rFonts w:cs="Calibri"/>
          <w:sz w:val="22"/>
        </w:rPr>
        <w:t>quen</w:t>
      </w:r>
      <w:r w:rsidR="00B346C8" w:rsidRPr="004A3B79">
        <w:rPr>
          <w:rFonts w:cs="Calibri"/>
          <w:sz w:val="22"/>
        </w:rPr>
        <w:t>ces</w:t>
      </w:r>
    </w:p>
    <w:p w14:paraId="6918D1F4" w14:textId="227200D2" w:rsidR="00F46090" w:rsidRPr="00B95C27" w:rsidRDefault="00C863C7" w:rsidP="005B72BC">
      <w:pPr>
        <w:spacing w:line="240" w:lineRule="auto"/>
        <w:rPr>
          <w:rFonts w:cs="Calibri"/>
          <w:b/>
          <w:bCs/>
          <w:sz w:val="22"/>
        </w:rPr>
      </w:pPr>
      <w:r w:rsidRPr="00B95C27">
        <w:rPr>
          <w:rFonts w:cs="Calibri"/>
          <w:b/>
          <w:bCs/>
          <w:sz w:val="22"/>
        </w:rPr>
        <w:t>Why This Matters</w:t>
      </w:r>
    </w:p>
    <w:p w14:paraId="783B65CA" w14:textId="77777777" w:rsidR="00F46090" w:rsidRPr="00B95C27" w:rsidRDefault="00C863C7" w:rsidP="005B72BC">
      <w:pPr>
        <w:spacing w:line="240" w:lineRule="auto"/>
        <w:rPr>
          <w:rFonts w:cs="Calibri"/>
          <w:sz w:val="22"/>
        </w:rPr>
      </w:pPr>
      <w:r w:rsidRPr="00B95C27">
        <w:rPr>
          <w:rFonts w:cs="Calibri"/>
          <w:sz w:val="22"/>
        </w:rPr>
        <w:t>The NSA depends on timely, enforceable payment. Non-payment renders IDR ineffective, shifts burden to providers, and threatens access to care.</w:t>
      </w:r>
    </w:p>
    <w:p w14:paraId="7E500CA3" w14:textId="77777777" w:rsidR="00F46090" w:rsidRPr="00B95C27" w:rsidRDefault="00C863C7" w:rsidP="005B72BC">
      <w:pPr>
        <w:spacing w:line="240" w:lineRule="auto"/>
        <w:rPr>
          <w:rFonts w:cs="Calibri"/>
          <w:sz w:val="22"/>
        </w:rPr>
      </w:pPr>
      <w:r w:rsidRPr="00E43B6A">
        <w:rPr>
          <w:rFonts w:cs="Calibri"/>
          <w:b/>
          <w:bCs/>
          <w:sz w:val="22"/>
        </w:rPr>
        <w:t>Legislative Need</w:t>
      </w:r>
      <w:r w:rsidRPr="00B95C27">
        <w:rPr>
          <w:rFonts w:cs="Calibri"/>
          <w:sz w:val="22"/>
        </w:rPr>
        <w:t>: Pass H.R. 4710 (No Surprises Act Enforcement Act)</w:t>
      </w:r>
    </w:p>
    <w:p w14:paraId="6001BF9A" w14:textId="49E83960" w:rsidR="00F46090" w:rsidRPr="00150EA2" w:rsidRDefault="00C863C7" w:rsidP="00150EA2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150EA2">
        <w:rPr>
          <w:rFonts w:cs="Calibri"/>
          <w:sz w:val="22"/>
        </w:rPr>
        <w:t>Enforces timely payment of IDR awards</w:t>
      </w:r>
    </w:p>
    <w:p w14:paraId="3E20507C" w14:textId="2E58452F" w:rsidR="00F46090" w:rsidRPr="00150EA2" w:rsidRDefault="00C863C7" w:rsidP="00150EA2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150EA2">
        <w:rPr>
          <w:rFonts w:cs="Calibri"/>
          <w:sz w:val="22"/>
        </w:rPr>
        <w:t>Establishes penalties for non-compliance</w:t>
      </w:r>
    </w:p>
    <w:p w14:paraId="78BC8135" w14:textId="2F3BE571" w:rsidR="00F46090" w:rsidRPr="00150EA2" w:rsidRDefault="00C863C7" w:rsidP="00150EA2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150EA2">
        <w:rPr>
          <w:rFonts w:cs="Calibri"/>
          <w:sz w:val="22"/>
        </w:rPr>
        <w:t>Closes enforcement gaps in current law</w:t>
      </w:r>
    </w:p>
    <w:p w14:paraId="72B5B820" w14:textId="6AA9D569" w:rsidR="00F46090" w:rsidRPr="00150EA2" w:rsidRDefault="00C863C7" w:rsidP="00150EA2">
      <w:pPr>
        <w:pStyle w:val="ListParagraph"/>
        <w:numPr>
          <w:ilvl w:val="0"/>
          <w:numId w:val="2"/>
        </w:numPr>
        <w:spacing w:line="240" w:lineRule="auto"/>
        <w:rPr>
          <w:rFonts w:cs="Calibri"/>
          <w:sz w:val="22"/>
        </w:rPr>
      </w:pPr>
      <w:r w:rsidRPr="00150EA2">
        <w:rPr>
          <w:rFonts w:cs="Calibri"/>
          <w:sz w:val="22"/>
        </w:rPr>
        <w:t>Restores IDR as a binding, reliable process</w:t>
      </w:r>
    </w:p>
    <w:p w14:paraId="406596CA" w14:textId="77777777" w:rsidR="00F46090" w:rsidRPr="00B95C27" w:rsidRDefault="00F46090" w:rsidP="005B72BC">
      <w:pPr>
        <w:spacing w:line="240" w:lineRule="auto"/>
        <w:rPr>
          <w:rFonts w:cs="Calibri"/>
          <w:sz w:val="22"/>
        </w:rPr>
      </w:pPr>
    </w:p>
    <w:p w14:paraId="5AE89939" w14:textId="08CE1666" w:rsidR="00F46090" w:rsidRPr="00B95C27" w:rsidRDefault="00C863C7" w:rsidP="005B72BC">
      <w:pPr>
        <w:spacing w:line="240" w:lineRule="auto"/>
        <w:rPr>
          <w:rFonts w:cs="Calibri"/>
          <w:b/>
          <w:bCs/>
          <w:sz w:val="22"/>
        </w:rPr>
      </w:pPr>
      <w:r w:rsidRPr="00B95C27">
        <w:rPr>
          <w:rFonts w:cs="Calibri"/>
          <w:b/>
          <w:bCs/>
          <w:sz w:val="22"/>
        </w:rPr>
        <w:t>Bottom Line</w:t>
      </w:r>
      <w:r w:rsidR="003A7319">
        <w:rPr>
          <w:rFonts w:cs="Calibri"/>
          <w:b/>
          <w:bCs/>
          <w:sz w:val="22"/>
        </w:rPr>
        <w:t xml:space="preserve">: </w:t>
      </w:r>
      <w:r w:rsidRPr="00B95C27">
        <w:rPr>
          <w:rFonts w:cs="Calibri"/>
          <w:b/>
          <w:bCs/>
          <w:sz w:val="22"/>
        </w:rPr>
        <w:t xml:space="preserve">Winning </w:t>
      </w:r>
      <w:r w:rsidR="00257278">
        <w:rPr>
          <w:rFonts w:cs="Calibri"/>
          <w:b/>
          <w:bCs/>
          <w:sz w:val="22"/>
        </w:rPr>
        <w:t xml:space="preserve">an </w:t>
      </w:r>
      <w:r w:rsidRPr="00B95C27">
        <w:rPr>
          <w:rFonts w:cs="Calibri"/>
          <w:b/>
          <w:bCs/>
          <w:sz w:val="22"/>
        </w:rPr>
        <w:t xml:space="preserve">IDR </w:t>
      </w:r>
      <w:r w:rsidR="00257278">
        <w:rPr>
          <w:rFonts w:cs="Calibri"/>
          <w:b/>
          <w:bCs/>
          <w:sz w:val="22"/>
        </w:rPr>
        <w:t xml:space="preserve">judgement </w:t>
      </w:r>
      <w:r w:rsidRPr="00B95C27">
        <w:rPr>
          <w:rFonts w:cs="Calibri"/>
          <w:b/>
          <w:bCs/>
          <w:sz w:val="22"/>
        </w:rPr>
        <w:t xml:space="preserve">must result in </w:t>
      </w:r>
      <w:r w:rsidR="00257278">
        <w:rPr>
          <w:rFonts w:cs="Calibri"/>
          <w:b/>
          <w:bCs/>
          <w:sz w:val="22"/>
        </w:rPr>
        <w:t xml:space="preserve">prompt </w:t>
      </w:r>
      <w:r w:rsidRPr="00B95C27">
        <w:rPr>
          <w:rFonts w:cs="Calibri"/>
          <w:b/>
          <w:bCs/>
          <w:sz w:val="22"/>
        </w:rPr>
        <w:t xml:space="preserve">payment. Without </w:t>
      </w:r>
      <w:r w:rsidR="00257278">
        <w:rPr>
          <w:rFonts w:cs="Calibri"/>
          <w:b/>
          <w:bCs/>
          <w:sz w:val="22"/>
        </w:rPr>
        <w:t xml:space="preserve">consequential </w:t>
      </w:r>
      <w:r w:rsidRPr="00B95C27">
        <w:rPr>
          <w:rFonts w:cs="Calibri"/>
          <w:b/>
          <w:bCs/>
          <w:sz w:val="22"/>
        </w:rPr>
        <w:t xml:space="preserve">enforcement, the NSA </w:t>
      </w:r>
      <w:r w:rsidR="00257278">
        <w:rPr>
          <w:rFonts w:cs="Calibri"/>
          <w:b/>
          <w:bCs/>
          <w:sz w:val="22"/>
        </w:rPr>
        <w:t xml:space="preserve">IDR process </w:t>
      </w:r>
      <w:r w:rsidRPr="00B95C27">
        <w:rPr>
          <w:rFonts w:cs="Calibri"/>
          <w:b/>
          <w:bCs/>
          <w:sz w:val="22"/>
        </w:rPr>
        <w:t>cannot function</w:t>
      </w:r>
      <w:r w:rsidR="00257278">
        <w:rPr>
          <w:rFonts w:cs="Calibri"/>
          <w:b/>
          <w:bCs/>
          <w:sz w:val="22"/>
        </w:rPr>
        <w:t xml:space="preserve"> as intended</w:t>
      </w:r>
      <w:r w:rsidRPr="00B95C27">
        <w:rPr>
          <w:rFonts w:cs="Calibri"/>
          <w:b/>
          <w:bCs/>
          <w:sz w:val="22"/>
        </w:rPr>
        <w:t>.</w:t>
      </w:r>
    </w:p>
    <w:sectPr w:rsidR="00F46090" w:rsidRPr="00B95C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DD6343"/>
    <w:multiLevelType w:val="hybridMultilevel"/>
    <w:tmpl w:val="A01CE4B0"/>
    <w:lvl w:ilvl="0" w:tplc="688656A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05F34"/>
    <w:multiLevelType w:val="hybridMultilevel"/>
    <w:tmpl w:val="4A96B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162FA7"/>
    <w:multiLevelType w:val="hybridMultilevel"/>
    <w:tmpl w:val="99EA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908E3"/>
    <w:multiLevelType w:val="multilevel"/>
    <w:tmpl w:val="58D2EC12"/>
    <w:lvl w:ilvl="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C6A3F"/>
    <w:multiLevelType w:val="hybridMultilevel"/>
    <w:tmpl w:val="85BAD9EC"/>
    <w:lvl w:ilvl="0" w:tplc="688656A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3276">
    <w:abstractNumId w:val="0"/>
  </w:num>
  <w:num w:numId="2" w16cid:durableId="1043552469">
    <w:abstractNumId w:val="12"/>
  </w:num>
  <w:num w:numId="3" w16cid:durableId="1067338218">
    <w:abstractNumId w:val="7"/>
  </w:num>
  <w:num w:numId="4" w16cid:durableId="1075468117">
    <w:abstractNumId w:val="6"/>
  </w:num>
  <w:num w:numId="5" w16cid:durableId="1115830257">
    <w:abstractNumId w:val="1"/>
  </w:num>
  <w:num w:numId="6" w16cid:durableId="1155029623">
    <w:abstractNumId w:val="10"/>
  </w:num>
  <w:num w:numId="7" w16cid:durableId="1199975807">
    <w:abstractNumId w:val="4"/>
  </w:num>
  <w:num w:numId="8" w16cid:durableId="1623682144">
    <w:abstractNumId w:val="13"/>
  </w:num>
  <w:num w:numId="9" w16cid:durableId="1657149208">
    <w:abstractNumId w:val="2"/>
  </w:num>
  <w:num w:numId="10" w16cid:durableId="445664299">
    <w:abstractNumId w:val="5"/>
  </w:num>
  <w:num w:numId="11" w16cid:durableId="594049277">
    <w:abstractNumId w:val="3"/>
  </w:num>
  <w:num w:numId="12" w16cid:durableId="611590219">
    <w:abstractNumId w:val="8"/>
  </w:num>
  <w:num w:numId="13" w16cid:durableId="750934307">
    <w:abstractNumId w:val="9"/>
  </w:num>
  <w:num w:numId="14" w16cid:durableId="820579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CB"/>
    <w:rsid w:val="00005734"/>
    <w:rsid w:val="00034616"/>
    <w:rsid w:val="00041504"/>
    <w:rsid w:val="00044547"/>
    <w:rsid w:val="000559A5"/>
    <w:rsid w:val="0006063C"/>
    <w:rsid w:val="00062007"/>
    <w:rsid w:val="00064210"/>
    <w:rsid w:val="00065DD7"/>
    <w:rsid w:val="000A4A0A"/>
    <w:rsid w:val="001117CF"/>
    <w:rsid w:val="00114359"/>
    <w:rsid w:val="00132501"/>
    <w:rsid w:val="00134C32"/>
    <w:rsid w:val="0014230D"/>
    <w:rsid w:val="00147254"/>
    <w:rsid w:val="0015074B"/>
    <w:rsid w:val="00150EA2"/>
    <w:rsid w:val="001570FE"/>
    <w:rsid w:val="00161B52"/>
    <w:rsid w:val="00174310"/>
    <w:rsid w:val="00181FCE"/>
    <w:rsid w:val="001B40A8"/>
    <w:rsid w:val="001C5C21"/>
    <w:rsid w:val="001D2A5E"/>
    <w:rsid w:val="001D7449"/>
    <w:rsid w:val="001F3763"/>
    <w:rsid w:val="00200DBA"/>
    <w:rsid w:val="002122AB"/>
    <w:rsid w:val="00254D42"/>
    <w:rsid w:val="00257278"/>
    <w:rsid w:val="002709A1"/>
    <w:rsid w:val="0029639D"/>
    <w:rsid w:val="002E1297"/>
    <w:rsid w:val="002E33B3"/>
    <w:rsid w:val="00323967"/>
    <w:rsid w:val="00326F90"/>
    <w:rsid w:val="00334B1C"/>
    <w:rsid w:val="00335A0A"/>
    <w:rsid w:val="003444A7"/>
    <w:rsid w:val="0034762D"/>
    <w:rsid w:val="003479A0"/>
    <w:rsid w:val="00354973"/>
    <w:rsid w:val="00362370"/>
    <w:rsid w:val="00370724"/>
    <w:rsid w:val="00374A69"/>
    <w:rsid w:val="00376201"/>
    <w:rsid w:val="00382ED7"/>
    <w:rsid w:val="0038469A"/>
    <w:rsid w:val="003A3C9E"/>
    <w:rsid w:val="003A7319"/>
    <w:rsid w:val="003B22EB"/>
    <w:rsid w:val="003C7CD9"/>
    <w:rsid w:val="00406419"/>
    <w:rsid w:val="00416820"/>
    <w:rsid w:val="004210AA"/>
    <w:rsid w:val="00440933"/>
    <w:rsid w:val="004577A8"/>
    <w:rsid w:val="00470BD4"/>
    <w:rsid w:val="004A3B79"/>
    <w:rsid w:val="004A7E45"/>
    <w:rsid w:val="004C04B7"/>
    <w:rsid w:val="004C0DB0"/>
    <w:rsid w:val="0050345C"/>
    <w:rsid w:val="005100AB"/>
    <w:rsid w:val="005163CA"/>
    <w:rsid w:val="00533153"/>
    <w:rsid w:val="00534979"/>
    <w:rsid w:val="00544865"/>
    <w:rsid w:val="00585DE0"/>
    <w:rsid w:val="00595EAA"/>
    <w:rsid w:val="005A6240"/>
    <w:rsid w:val="005A65DD"/>
    <w:rsid w:val="005B72BC"/>
    <w:rsid w:val="005C37E2"/>
    <w:rsid w:val="005D6584"/>
    <w:rsid w:val="005F49C5"/>
    <w:rsid w:val="00616CC4"/>
    <w:rsid w:val="00635FCB"/>
    <w:rsid w:val="00637602"/>
    <w:rsid w:val="00670433"/>
    <w:rsid w:val="00690E9A"/>
    <w:rsid w:val="00695E01"/>
    <w:rsid w:val="00697D4B"/>
    <w:rsid w:val="006A449C"/>
    <w:rsid w:val="006B5FAA"/>
    <w:rsid w:val="006C21F7"/>
    <w:rsid w:val="006D4231"/>
    <w:rsid w:val="006E629B"/>
    <w:rsid w:val="006F1EF4"/>
    <w:rsid w:val="00701BDD"/>
    <w:rsid w:val="00705EB5"/>
    <w:rsid w:val="00707042"/>
    <w:rsid w:val="00717966"/>
    <w:rsid w:val="0078082C"/>
    <w:rsid w:val="007C0D01"/>
    <w:rsid w:val="007F2A83"/>
    <w:rsid w:val="00813F94"/>
    <w:rsid w:val="00816753"/>
    <w:rsid w:val="00830EDD"/>
    <w:rsid w:val="00831F35"/>
    <w:rsid w:val="008336D6"/>
    <w:rsid w:val="00862AD8"/>
    <w:rsid w:val="00867E29"/>
    <w:rsid w:val="00870D3E"/>
    <w:rsid w:val="00874439"/>
    <w:rsid w:val="008B2E62"/>
    <w:rsid w:val="008C2994"/>
    <w:rsid w:val="008D661D"/>
    <w:rsid w:val="008E1F03"/>
    <w:rsid w:val="008E5C10"/>
    <w:rsid w:val="008F1038"/>
    <w:rsid w:val="00906D97"/>
    <w:rsid w:val="00920B4F"/>
    <w:rsid w:val="00924996"/>
    <w:rsid w:val="009331A6"/>
    <w:rsid w:val="00952B10"/>
    <w:rsid w:val="0097105B"/>
    <w:rsid w:val="00995FB9"/>
    <w:rsid w:val="009B488C"/>
    <w:rsid w:val="009C1419"/>
    <w:rsid w:val="00A15079"/>
    <w:rsid w:val="00A153C6"/>
    <w:rsid w:val="00A55276"/>
    <w:rsid w:val="00A60E75"/>
    <w:rsid w:val="00A64BBA"/>
    <w:rsid w:val="00A65474"/>
    <w:rsid w:val="00A668EB"/>
    <w:rsid w:val="00A70E98"/>
    <w:rsid w:val="00A74A09"/>
    <w:rsid w:val="00A76B69"/>
    <w:rsid w:val="00A904D1"/>
    <w:rsid w:val="00A935B5"/>
    <w:rsid w:val="00A93F7C"/>
    <w:rsid w:val="00AA1D8D"/>
    <w:rsid w:val="00AB060F"/>
    <w:rsid w:val="00AB1FCF"/>
    <w:rsid w:val="00AB4E62"/>
    <w:rsid w:val="00AE1B7E"/>
    <w:rsid w:val="00AE4D0B"/>
    <w:rsid w:val="00B11976"/>
    <w:rsid w:val="00B21A39"/>
    <w:rsid w:val="00B346C8"/>
    <w:rsid w:val="00B40E4C"/>
    <w:rsid w:val="00B4720B"/>
    <w:rsid w:val="00B47730"/>
    <w:rsid w:val="00B53486"/>
    <w:rsid w:val="00B5558C"/>
    <w:rsid w:val="00B71E07"/>
    <w:rsid w:val="00B81146"/>
    <w:rsid w:val="00B932E7"/>
    <w:rsid w:val="00B95C27"/>
    <w:rsid w:val="00BD67A1"/>
    <w:rsid w:val="00BF07C2"/>
    <w:rsid w:val="00BF3B86"/>
    <w:rsid w:val="00C070C0"/>
    <w:rsid w:val="00C10594"/>
    <w:rsid w:val="00C11C08"/>
    <w:rsid w:val="00C646D0"/>
    <w:rsid w:val="00C66BF3"/>
    <w:rsid w:val="00C711AB"/>
    <w:rsid w:val="00C863C7"/>
    <w:rsid w:val="00CB0664"/>
    <w:rsid w:val="00CC1D05"/>
    <w:rsid w:val="00CD2EBB"/>
    <w:rsid w:val="00D12365"/>
    <w:rsid w:val="00D25BD9"/>
    <w:rsid w:val="00D52791"/>
    <w:rsid w:val="00D65390"/>
    <w:rsid w:val="00D65D8F"/>
    <w:rsid w:val="00D7292A"/>
    <w:rsid w:val="00DB34CF"/>
    <w:rsid w:val="00DC0B08"/>
    <w:rsid w:val="00DD1BCF"/>
    <w:rsid w:val="00E278B4"/>
    <w:rsid w:val="00E27DE9"/>
    <w:rsid w:val="00E43B6A"/>
    <w:rsid w:val="00E45861"/>
    <w:rsid w:val="00E64A25"/>
    <w:rsid w:val="00E852E2"/>
    <w:rsid w:val="00E853BA"/>
    <w:rsid w:val="00EA0E43"/>
    <w:rsid w:val="00EA5EC4"/>
    <w:rsid w:val="00EB28B6"/>
    <w:rsid w:val="00ED0DBC"/>
    <w:rsid w:val="00ED2BA8"/>
    <w:rsid w:val="00EF6935"/>
    <w:rsid w:val="00F13910"/>
    <w:rsid w:val="00F42EE5"/>
    <w:rsid w:val="00F46090"/>
    <w:rsid w:val="00F87380"/>
    <w:rsid w:val="00FA79F1"/>
    <w:rsid w:val="00FC693F"/>
    <w:rsid w:val="00FD34B8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990CA"/>
  <w14:defaultImageDpi w14:val="300"/>
  <w15:docId w15:val="{152590D2-46E3-46EB-9612-94B937BC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F42EE5"/>
    <w:pPr>
      <w:spacing w:after="0" w:line="240" w:lineRule="auto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D6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58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58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584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1847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Walton, Ashley</cp:lastModifiedBy>
  <cp:revision>4</cp:revision>
  <dcterms:created xsi:type="dcterms:W3CDTF">2026-04-06T19:00:00Z</dcterms:created>
  <dcterms:modified xsi:type="dcterms:W3CDTF">2026-04-06T19:29:00Z</dcterms:modified>
  <cp:category/>
</cp:coreProperties>
</file>