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7B7B" w14:textId="2ECA89A6" w:rsidR="0040792A" w:rsidRPr="00075B5A" w:rsidRDefault="0073154B" w:rsidP="006563F6">
      <w:pPr>
        <w:spacing w:after="0" w:line="480" w:lineRule="auto"/>
        <w:rPr>
          <w:rFonts w:ascii="Times New Roman" w:hAnsi="Times New Roman" w:cs="Times New Roman"/>
          <w:b/>
          <w:bCs/>
          <w:sz w:val="24"/>
          <w:szCs w:val="24"/>
        </w:rPr>
      </w:pPr>
      <w:r w:rsidRPr="00075B5A">
        <w:rPr>
          <w:rFonts w:ascii="Times New Roman" w:hAnsi="Times New Roman" w:cs="Times New Roman"/>
          <w:b/>
          <w:bCs/>
          <w:sz w:val="24"/>
          <w:szCs w:val="24"/>
        </w:rPr>
        <w:t xml:space="preserve">Paper </w:t>
      </w:r>
      <w:r w:rsidR="003061B4" w:rsidRPr="00075B5A">
        <w:rPr>
          <w:rFonts w:ascii="Times New Roman" w:hAnsi="Times New Roman" w:cs="Times New Roman"/>
          <w:b/>
          <w:bCs/>
          <w:sz w:val="24"/>
          <w:szCs w:val="24"/>
        </w:rPr>
        <w:t>Title:</w:t>
      </w:r>
      <w:r w:rsidR="0010400B">
        <w:rPr>
          <w:rFonts w:ascii="Times New Roman" w:hAnsi="Times New Roman" w:cs="Times New Roman"/>
          <w:b/>
          <w:bCs/>
          <w:sz w:val="24"/>
          <w:szCs w:val="24"/>
        </w:rPr>
        <w:t xml:space="preserve"> A primer and guideline on the design </w:t>
      </w:r>
      <w:r w:rsidR="001D73CB">
        <w:rPr>
          <w:rFonts w:ascii="Times New Roman" w:hAnsi="Times New Roman" w:cs="Times New Roman"/>
          <w:b/>
          <w:bCs/>
          <w:sz w:val="24"/>
          <w:szCs w:val="24"/>
        </w:rPr>
        <w:t xml:space="preserve">and publication </w:t>
      </w:r>
      <w:r w:rsidR="0010400B">
        <w:rPr>
          <w:rFonts w:ascii="Times New Roman" w:hAnsi="Times New Roman" w:cs="Times New Roman"/>
          <w:b/>
          <w:bCs/>
          <w:sz w:val="24"/>
          <w:szCs w:val="24"/>
        </w:rPr>
        <w:t>of outcome studies in the clinical laboratory</w:t>
      </w:r>
    </w:p>
    <w:p w14:paraId="35106419" w14:textId="77777777" w:rsidR="003061B4" w:rsidRPr="00075B5A" w:rsidRDefault="003061B4" w:rsidP="006563F6">
      <w:pPr>
        <w:spacing w:after="0" w:line="480" w:lineRule="auto"/>
        <w:rPr>
          <w:rFonts w:ascii="Times New Roman" w:hAnsi="Times New Roman" w:cs="Times New Roman"/>
          <w:b/>
          <w:bCs/>
          <w:sz w:val="24"/>
          <w:szCs w:val="24"/>
        </w:rPr>
      </w:pPr>
    </w:p>
    <w:p w14:paraId="65E898E2" w14:textId="742F75BD" w:rsidR="0040792A" w:rsidRPr="00075B5A" w:rsidRDefault="0A805085" w:rsidP="006563F6">
      <w:pPr>
        <w:spacing w:after="0" w:line="480" w:lineRule="auto"/>
        <w:rPr>
          <w:rFonts w:ascii="Times New Roman" w:hAnsi="Times New Roman" w:cs="Times New Roman"/>
          <w:b/>
          <w:bCs/>
          <w:color w:val="FF0000"/>
          <w:sz w:val="24"/>
          <w:szCs w:val="24"/>
        </w:rPr>
      </w:pPr>
      <w:r w:rsidRPr="0A805085">
        <w:rPr>
          <w:rFonts w:ascii="Times New Roman" w:hAnsi="Times New Roman" w:cs="Times New Roman"/>
          <w:b/>
          <w:bCs/>
          <w:sz w:val="24"/>
          <w:szCs w:val="24"/>
        </w:rPr>
        <w:t>Introduction</w:t>
      </w:r>
    </w:p>
    <w:p w14:paraId="0A5BA28E" w14:textId="033244AE" w:rsidR="0068EAF3"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t>Evidence-based laboratory medicine guidelines (EBLMGs) are increasingly used to inform clinical decision-making, laboratory practice, and health policy. The reliability and impact of these guidelines depend heavily on the quality, rigor, and transparency of the underlying primary evidence, particularly studies that extend beyond analytical performance to evaluate the effects of laboratory practices on clinical outcomes. (</w:t>
      </w:r>
      <w:commentRangeStart w:id="0"/>
      <w:r w:rsidRPr="006C15D7">
        <w:rPr>
          <w:rFonts w:ascii="Times New Roman" w:hAnsi="Times New Roman" w:cs="Times New Roman"/>
          <w:sz w:val="24"/>
          <w:szCs w:val="24"/>
        </w:rPr>
        <w:t>1</w:t>
      </w:r>
      <w:commentRangeEnd w:id="0"/>
      <w:r w:rsidR="00757492" w:rsidRPr="006C15D7">
        <w:rPr>
          <w:rStyle w:val="CommentReference"/>
          <w:rFonts w:ascii="Times New Roman" w:hAnsi="Times New Roman" w:cs="Times New Roman"/>
          <w:sz w:val="24"/>
          <w:szCs w:val="24"/>
        </w:rPr>
        <w:commentReference w:id="0"/>
      </w:r>
      <w:r w:rsidRPr="006C15D7">
        <w:rPr>
          <w:rFonts w:ascii="Times New Roman" w:hAnsi="Times New Roman" w:cs="Times New Roman"/>
          <w:sz w:val="24"/>
          <w:szCs w:val="24"/>
        </w:rPr>
        <w:t>)</w:t>
      </w:r>
      <w:r w:rsidR="00303AEF">
        <w:rPr>
          <w:rFonts w:ascii="Times New Roman" w:hAnsi="Times New Roman" w:cs="Times New Roman"/>
          <w:sz w:val="24"/>
          <w:szCs w:val="24"/>
        </w:rPr>
        <w:t xml:space="preserve"> </w:t>
      </w:r>
      <w:r w:rsidRPr="006C15D7">
        <w:rPr>
          <w:rFonts w:ascii="Times New Roman" w:hAnsi="Times New Roman" w:cs="Times New Roman"/>
          <w:sz w:val="24"/>
          <w:szCs w:val="24"/>
        </w:rPr>
        <w:t xml:space="preserve">However, recent experience with the development of </w:t>
      </w:r>
      <w:r w:rsidR="00A46102">
        <w:rPr>
          <w:rFonts w:ascii="Times New Roman" w:hAnsi="Times New Roman" w:cs="Times New Roman"/>
          <w:sz w:val="24"/>
          <w:szCs w:val="24"/>
        </w:rPr>
        <w:t>EBLMGs</w:t>
      </w:r>
      <w:r w:rsidRPr="006C15D7">
        <w:rPr>
          <w:rFonts w:ascii="Times New Roman" w:hAnsi="Times New Roman" w:cs="Times New Roman"/>
          <w:sz w:val="24"/>
          <w:szCs w:val="24"/>
        </w:rPr>
        <w:t xml:space="preserve"> by ASM highlights important limitations in the current evidence base.</w:t>
      </w:r>
      <w:r w:rsidRPr="0E9995AC">
        <w:rPr>
          <w:rFonts w:ascii="Times New Roman" w:hAnsi="Times New Roman" w:cs="Times New Roman"/>
          <w:sz w:val="24"/>
          <w:szCs w:val="24"/>
        </w:rPr>
        <w:t xml:space="preserve"> </w:t>
      </w:r>
      <w:r w:rsidRPr="006C15D7">
        <w:rPr>
          <w:rFonts w:ascii="Times New Roman" w:hAnsi="Times New Roman" w:cs="Times New Roman"/>
          <w:sz w:val="24"/>
          <w:szCs w:val="24"/>
        </w:rPr>
        <w:t>(2) These limitations are especially pronounced in clinical outcomes studies intended to demonstrate the downstream impact of laboratory interventions on patient care. Such studies may vary in study design, methodological rigor, and reporting completeness, which can make it more challenging to interpret findings, assess validity, and draw firm conclusions about clinical benefit.</w:t>
      </w:r>
    </w:p>
    <w:p w14:paraId="757BC19B" w14:textId="77777777" w:rsidR="00303AEF" w:rsidRPr="00075B5A" w:rsidRDefault="00303AEF" w:rsidP="0E9995AC">
      <w:pPr>
        <w:spacing w:after="0" w:line="480" w:lineRule="auto"/>
        <w:rPr>
          <w:rFonts w:ascii="Times New Roman" w:hAnsi="Times New Roman" w:cs="Times New Roman"/>
          <w:sz w:val="24"/>
          <w:szCs w:val="24"/>
        </w:rPr>
      </w:pPr>
    </w:p>
    <w:p w14:paraId="38518CFC" w14:textId="37EEA746" w:rsidR="0068EAF3" w:rsidRPr="00075B5A"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t>These challenges are not unique to ASM but reflect broader issues in how laboratory process improvement and quality improvement (QI) studies are conducted and reported. While many studies effectively describe operational or process-level changes, fewer are designed or reported in ways that robustly link those changes to meaningful clinical outcomes. As a result, even when laboratory interventions are promising, the evidence supporting their impact on patient care may be incomplete, difficult to evaluate, or insufficient for strong guideline recommendations.</w:t>
      </w:r>
    </w:p>
    <w:p w14:paraId="63C3724C" w14:textId="42209225" w:rsidR="0068EAF3"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lastRenderedPageBreak/>
        <w:t>Reporting guidelines such as the Standards for Quality Improvement Reporting Excellence (</w:t>
      </w:r>
      <w:r w:rsidR="00307351">
        <w:rPr>
          <w:rFonts w:ascii="Times New Roman" w:hAnsi="Times New Roman" w:cs="Times New Roman"/>
          <w:sz w:val="24"/>
          <w:szCs w:val="24"/>
        </w:rPr>
        <w:t>SQUIRE</w:t>
      </w:r>
      <w:r w:rsidRPr="006C15D7">
        <w:rPr>
          <w:rFonts w:ascii="Times New Roman" w:hAnsi="Times New Roman" w:cs="Times New Roman"/>
          <w:sz w:val="24"/>
          <w:szCs w:val="24"/>
        </w:rPr>
        <w:t xml:space="preserve">) were developed to improve the clarity, completeness, and transparency of QI research. </w:t>
      </w:r>
      <w:commentRangeStart w:id="1"/>
      <w:commentRangeStart w:id="2"/>
      <w:r w:rsidRPr="006C15D7">
        <w:rPr>
          <w:rFonts w:ascii="Times New Roman" w:hAnsi="Times New Roman" w:cs="Times New Roman"/>
          <w:sz w:val="24"/>
          <w:szCs w:val="24"/>
        </w:rPr>
        <w:t xml:space="preserve">(REF) </w:t>
      </w:r>
      <w:commentRangeEnd w:id="2"/>
      <w:r w:rsidR="0068EAF3" w:rsidRPr="006C15D7">
        <w:rPr>
          <w:rStyle w:val="CommentReference"/>
          <w:rFonts w:ascii="Times New Roman" w:hAnsi="Times New Roman" w:cs="Times New Roman"/>
          <w:sz w:val="24"/>
          <w:szCs w:val="24"/>
        </w:rPr>
        <w:commentReference w:id="2"/>
      </w:r>
      <w:commentRangeEnd w:id="1"/>
      <w:r w:rsidR="00757492" w:rsidRPr="006C15D7">
        <w:rPr>
          <w:rStyle w:val="CommentReference"/>
          <w:rFonts w:ascii="Times New Roman" w:hAnsi="Times New Roman" w:cs="Times New Roman"/>
          <w:sz w:val="24"/>
          <w:szCs w:val="24"/>
        </w:rPr>
        <w:commentReference w:id="1"/>
      </w:r>
      <w:commentRangeStart w:id="3"/>
      <w:r w:rsidRPr="006C15D7">
        <w:rPr>
          <w:rFonts w:ascii="Times New Roman" w:hAnsi="Times New Roman" w:cs="Times New Roman"/>
          <w:sz w:val="24"/>
          <w:szCs w:val="24"/>
        </w:rPr>
        <w:t>However</w:t>
      </w:r>
      <w:commentRangeEnd w:id="3"/>
      <w:r w:rsidR="00757492" w:rsidRPr="006C15D7">
        <w:rPr>
          <w:rStyle w:val="CommentReference"/>
          <w:rFonts w:ascii="Times New Roman" w:hAnsi="Times New Roman" w:cs="Times New Roman"/>
          <w:sz w:val="24"/>
          <w:szCs w:val="24"/>
        </w:rPr>
        <w:commentReference w:id="3"/>
      </w:r>
      <w:r w:rsidRPr="006C15D7">
        <w:rPr>
          <w:rFonts w:ascii="Times New Roman" w:hAnsi="Times New Roman" w:cs="Times New Roman"/>
          <w:sz w:val="24"/>
          <w:szCs w:val="24"/>
        </w:rPr>
        <w:t>, these guidelines were not specifically tailored to the unique challenges of laboratory medicine, particularly with respect to designing and reporting studies that assess clinical outcomes associated with diagnostic and workflow interventions. This creates a critical gap between existing reporting standards and the types of evidence required to support high-quality EBLMGs.</w:t>
      </w:r>
    </w:p>
    <w:p w14:paraId="222DCB62" w14:textId="77777777" w:rsidR="00303AEF" w:rsidRPr="00075B5A" w:rsidRDefault="00303AEF" w:rsidP="0E9995AC">
      <w:pPr>
        <w:spacing w:after="0" w:line="480" w:lineRule="auto"/>
        <w:rPr>
          <w:rFonts w:ascii="Times New Roman" w:hAnsi="Times New Roman" w:cs="Times New Roman"/>
          <w:sz w:val="24"/>
          <w:szCs w:val="24"/>
        </w:rPr>
      </w:pPr>
    </w:p>
    <w:p w14:paraId="4FD0EC23" w14:textId="525697D9" w:rsidR="007E0B94"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t xml:space="preserve">To address this gap, </w:t>
      </w:r>
      <w:r w:rsidR="00187756">
        <w:rPr>
          <w:rFonts w:ascii="Times New Roman" w:hAnsi="Times New Roman" w:cs="Times New Roman"/>
          <w:sz w:val="24"/>
          <w:szCs w:val="24"/>
        </w:rPr>
        <w:t xml:space="preserve">ASM partnered with </w:t>
      </w:r>
      <w:r w:rsidR="00B921F5">
        <w:rPr>
          <w:rFonts w:ascii="Times New Roman" w:hAnsi="Times New Roman" w:cs="Times New Roman"/>
          <w:sz w:val="24"/>
          <w:szCs w:val="24"/>
        </w:rPr>
        <w:t>the Association for Diagnostics and Laboratory Medicine (</w:t>
      </w:r>
      <w:r w:rsidR="00187756">
        <w:rPr>
          <w:rFonts w:ascii="Times New Roman" w:hAnsi="Times New Roman" w:cs="Times New Roman"/>
          <w:sz w:val="24"/>
          <w:szCs w:val="24"/>
        </w:rPr>
        <w:t>ADLM</w:t>
      </w:r>
      <w:r w:rsidR="00B921F5">
        <w:rPr>
          <w:rFonts w:ascii="Times New Roman" w:hAnsi="Times New Roman" w:cs="Times New Roman"/>
          <w:sz w:val="24"/>
          <w:szCs w:val="24"/>
        </w:rPr>
        <w:t>)</w:t>
      </w:r>
      <w:r w:rsidR="00187756">
        <w:rPr>
          <w:rFonts w:ascii="Times New Roman" w:hAnsi="Times New Roman" w:cs="Times New Roman"/>
          <w:sz w:val="24"/>
          <w:szCs w:val="24"/>
        </w:rPr>
        <w:t xml:space="preserve"> </w:t>
      </w:r>
      <w:r w:rsidR="00C03E80">
        <w:rPr>
          <w:rFonts w:ascii="Times New Roman" w:hAnsi="Times New Roman" w:cs="Times New Roman"/>
          <w:sz w:val="24"/>
          <w:szCs w:val="24"/>
        </w:rPr>
        <w:t xml:space="preserve">in </w:t>
      </w:r>
      <w:r w:rsidR="008A38ED">
        <w:rPr>
          <w:rFonts w:ascii="Times New Roman" w:hAnsi="Times New Roman" w:cs="Times New Roman"/>
          <w:sz w:val="24"/>
          <w:szCs w:val="24"/>
        </w:rPr>
        <w:t>adapting</w:t>
      </w:r>
      <w:r w:rsidRPr="006C15D7">
        <w:rPr>
          <w:rFonts w:ascii="Times New Roman" w:hAnsi="Times New Roman" w:cs="Times New Roman"/>
          <w:sz w:val="24"/>
          <w:szCs w:val="24"/>
        </w:rPr>
        <w:t xml:space="preserve"> the </w:t>
      </w:r>
      <w:r w:rsidR="00307351">
        <w:rPr>
          <w:rFonts w:ascii="Times New Roman" w:hAnsi="Times New Roman" w:cs="Times New Roman"/>
          <w:sz w:val="24"/>
          <w:szCs w:val="24"/>
        </w:rPr>
        <w:t>SQUIRE</w:t>
      </w:r>
      <w:r w:rsidRPr="006C15D7">
        <w:rPr>
          <w:rFonts w:ascii="Times New Roman" w:hAnsi="Times New Roman" w:cs="Times New Roman"/>
          <w:sz w:val="24"/>
          <w:szCs w:val="24"/>
        </w:rPr>
        <w:t xml:space="preserve"> guidelines to better support the design, conduct, and reporting of laboratory studies, especially those evaluating clinical outcomes.</w:t>
      </w:r>
      <w:r w:rsidR="00012A29">
        <w:rPr>
          <w:rFonts w:ascii="Times New Roman" w:hAnsi="Times New Roman" w:cs="Times New Roman"/>
          <w:sz w:val="24"/>
          <w:szCs w:val="24"/>
        </w:rPr>
        <w:t xml:space="preserve"> This </w:t>
      </w:r>
      <w:r w:rsidR="00B0025A">
        <w:rPr>
          <w:rFonts w:ascii="Times New Roman" w:hAnsi="Times New Roman" w:cs="Times New Roman"/>
          <w:sz w:val="24"/>
          <w:szCs w:val="24"/>
        </w:rPr>
        <w:t>guideline includes a checklist</w:t>
      </w:r>
      <w:r w:rsidR="00254A47" w:rsidRPr="00254A47">
        <w:rPr>
          <w:rFonts w:ascii="Times New Roman" w:eastAsia="Arial" w:hAnsi="Times New Roman" w:cs="Times New Roman"/>
          <w:color w:val="0E0C1B"/>
          <w:sz w:val="24"/>
          <w:szCs w:val="24"/>
        </w:rPr>
        <w:t xml:space="preserve"> </w:t>
      </w:r>
      <w:r w:rsidR="00254A47" w:rsidRPr="0A805085">
        <w:rPr>
          <w:rFonts w:ascii="Times New Roman" w:eastAsia="Arial" w:hAnsi="Times New Roman" w:cs="Times New Roman"/>
          <w:color w:val="0E0C1B"/>
          <w:sz w:val="24"/>
          <w:szCs w:val="24"/>
        </w:rPr>
        <w:t xml:space="preserve">modeled on the </w:t>
      </w:r>
      <w:r w:rsidR="00254A47" w:rsidRPr="0A805085">
        <w:rPr>
          <w:rFonts w:ascii="Times New Roman" w:hAnsi="Times New Roman" w:cs="Times New Roman"/>
          <w:sz w:val="24"/>
          <w:szCs w:val="24"/>
        </w:rPr>
        <w:t>Standards for Quality Improvement Reporting Excellence (</w:t>
      </w:r>
      <w:r w:rsidR="00254A47">
        <w:rPr>
          <w:rFonts w:ascii="Times New Roman" w:hAnsi="Times New Roman" w:cs="Times New Roman"/>
          <w:sz w:val="24"/>
          <w:szCs w:val="24"/>
        </w:rPr>
        <w:t>SQUIRE</w:t>
      </w:r>
      <w:r w:rsidR="00254A47" w:rsidRPr="0A805085">
        <w:rPr>
          <w:rFonts w:ascii="Times New Roman" w:hAnsi="Times New Roman" w:cs="Times New Roman"/>
          <w:sz w:val="24"/>
          <w:szCs w:val="24"/>
        </w:rPr>
        <w:t xml:space="preserve"> 2.0), which we refer to as LAB-</w:t>
      </w:r>
      <w:r w:rsidR="00254A47">
        <w:rPr>
          <w:rFonts w:ascii="Times New Roman" w:hAnsi="Times New Roman" w:cs="Times New Roman"/>
          <w:sz w:val="24"/>
          <w:szCs w:val="24"/>
        </w:rPr>
        <w:t>SQUIRE</w:t>
      </w:r>
      <w:r w:rsidR="00254A47" w:rsidRPr="0A805085">
        <w:rPr>
          <w:rFonts w:ascii="Times New Roman" w:hAnsi="Times New Roman" w:cs="Times New Roman"/>
          <w:sz w:val="24"/>
          <w:szCs w:val="24"/>
        </w:rPr>
        <w:t xml:space="preserve"> 2.0</w:t>
      </w:r>
      <w:r w:rsidR="00585702">
        <w:rPr>
          <w:rFonts w:ascii="Times New Roman" w:hAnsi="Times New Roman" w:cs="Times New Roman"/>
          <w:sz w:val="24"/>
          <w:szCs w:val="24"/>
        </w:rPr>
        <w:t>,</w:t>
      </w:r>
      <w:r w:rsidR="00B0025A">
        <w:rPr>
          <w:rFonts w:ascii="Times New Roman" w:hAnsi="Times New Roman" w:cs="Times New Roman"/>
          <w:sz w:val="24"/>
          <w:szCs w:val="24"/>
        </w:rPr>
        <w:t xml:space="preserve"> to facilitate study design and ensure future published studies </w:t>
      </w:r>
      <w:r w:rsidR="006B3CD4">
        <w:rPr>
          <w:rFonts w:ascii="Times New Roman" w:hAnsi="Times New Roman" w:cs="Times New Roman"/>
          <w:sz w:val="24"/>
          <w:szCs w:val="24"/>
        </w:rPr>
        <w:t>contain sufficient details to be included in SRs and meta-analyses.</w:t>
      </w:r>
      <w:r w:rsidR="007E0B94">
        <w:rPr>
          <w:rFonts w:ascii="Times New Roman" w:hAnsi="Times New Roman" w:cs="Times New Roman"/>
          <w:sz w:val="24"/>
          <w:szCs w:val="24"/>
        </w:rPr>
        <w:t xml:space="preserve"> </w:t>
      </w:r>
      <w:hyperlink r:id="rId15">
        <w:r w:rsidR="007E0B94" w:rsidRPr="0A805085">
          <w:rPr>
            <w:rStyle w:val="Hyperlink"/>
            <w:rFonts w:ascii="Times New Roman" w:hAnsi="Times New Roman" w:cs="Times New Roman"/>
            <w:sz w:val="24"/>
            <w:szCs w:val="24"/>
          </w:rPr>
          <w:t>Finalized Checklist</w:t>
        </w:r>
      </w:hyperlink>
    </w:p>
    <w:p w14:paraId="6ECFEA0F" w14:textId="77777777" w:rsidR="007E0B94" w:rsidRDefault="007E0B94" w:rsidP="0E9995AC">
      <w:pPr>
        <w:spacing w:after="0" w:line="480" w:lineRule="auto"/>
        <w:rPr>
          <w:rFonts w:ascii="Times New Roman" w:hAnsi="Times New Roman" w:cs="Times New Roman"/>
          <w:sz w:val="24"/>
          <w:szCs w:val="24"/>
        </w:rPr>
      </w:pPr>
    </w:p>
    <w:p w14:paraId="426C42D3" w14:textId="3D97421B" w:rsidR="0068EAF3"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t>By strengthening how such studies are structured and reported, this work aims</w:t>
      </w:r>
      <w:r w:rsidRPr="0E9995AC">
        <w:rPr>
          <w:rFonts w:ascii="Times New Roman" w:hAnsi="Times New Roman" w:cs="Times New Roman"/>
          <w:b/>
          <w:bCs/>
          <w:sz w:val="24"/>
          <w:szCs w:val="24"/>
        </w:rPr>
        <w:t xml:space="preserve"> </w:t>
      </w:r>
      <w:r w:rsidRPr="006C15D7">
        <w:rPr>
          <w:rFonts w:ascii="Times New Roman" w:hAnsi="Times New Roman" w:cs="Times New Roman"/>
          <w:sz w:val="24"/>
          <w:szCs w:val="24"/>
        </w:rPr>
        <w:t>to improve the overall evidence base for laboratory medicine and enhance the reliability of guideline recommendations that guide clinical practice.</w:t>
      </w:r>
    </w:p>
    <w:p w14:paraId="13066D72" w14:textId="1CC97AB4" w:rsidR="0068EAF3" w:rsidRPr="00075B5A" w:rsidRDefault="0068EAF3" w:rsidP="006563F6">
      <w:pPr>
        <w:spacing w:after="0" w:line="480" w:lineRule="auto"/>
        <w:rPr>
          <w:rFonts w:ascii="Times New Roman" w:hAnsi="Times New Roman" w:cs="Times New Roman"/>
          <w:b/>
          <w:bCs/>
          <w:sz w:val="24"/>
          <w:szCs w:val="24"/>
        </w:rPr>
      </w:pPr>
    </w:p>
    <w:p w14:paraId="138BA447" w14:textId="1B511225" w:rsidR="0040792A" w:rsidRPr="00075B5A" w:rsidRDefault="003560CC" w:rsidP="006563F6">
      <w:pPr>
        <w:spacing w:after="0" w:line="480" w:lineRule="auto"/>
        <w:rPr>
          <w:rFonts w:ascii="Times New Roman" w:hAnsi="Times New Roman" w:cs="Times New Roman"/>
          <w:b/>
          <w:bCs/>
          <w:color w:val="FF0000"/>
          <w:sz w:val="24"/>
          <w:szCs w:val="24"/>
        </w:rPr>
      </w:pPr>
      <w:r>
        <w:rPr>
          <w:rFonts w:ascii="Times New Roman" w:hAnsi="Times New Roman" w:cs="Times New Roman"/>
          <w:b/>
          <w:bCs/>
          <w:sz w:val="24"/>
          <w:szCs w:val="24"/>
        </w:rPr>
        <w:t>What Are Evidence-Based Laboratory Medicine Guidelines?</w:t>
      </w:r>
    </w:p>
    <w:p w14:paraId="6A561390" w14:textId="3F31FD7D" w:rsidR="006707AA" w:rsidRDefault="0A805085" w:rsidP="0A805085">
      <w:pPr>
        <w:spacing w:after="0" w:line="480" w:lineRule="auto"/>
        <w:rPr>
          <w:rFonts w:ascii="Times New Roman" w:eastAsia="Times New Roman" w:hAnsi="Times New Roman" w:cs="Times New Roman"/>
          <w:strike/>
          <w:sz w:val="24"/>
          <w:szCs w:val="24"/>
        </w:rPr>
      </w:pPr>
      <w:r w:rsidRPr="0A805085">
        <w:rPr>
          <w:rFonts w:ascii="Times New Roman" w:hAnsi="Times New Roman" w:cs="Times New Roman"/>
          <w:sz w:val="24"/>
          <w:szCs w:val="24"/>
        </w:rPr>
        <w:t>EB</w:t>
      </w:r>
      <w:r w:rsidR="00D40BFD">
        <w:rPr>
          <w:rFonts w:ascii="Times New Roman" w:hAnsi="Times New Roman" w:cs="Times New Roman"/>
          <w:sz w:val="24"/>
          <w:szCs w:val="24"/>
        </w:rPr>
        <w:t>LM</w:t>
      </w:r>
      <w:r w:rsidRPr="0A805085">
        <w:rPr>
          <w:rFonts w:ascii="Times New Roman" w:hAnsi="Times New Roman" w:cs="Times New Roman"/>
          <w:sz w:val="24"/>
          <w:szCs w:val="24"/>
        </w:rPr>
        <w:t xml:space="preserve">Gs use </w:t>
      </w:r>
      <w:r w:rsidR="00D40BFD">
        <w:rPr>
          <w:rFonts w:ascii="Times New Roman" w:hAnsi="Times New Roman" w:cs="Times New Roman"/>
          <w:sz w:val="24"/>
          <w:szCs w:val="24"/>
        </w:rPr>
        <w:t>SRs</w:t>
      </w:r>
      <w:r w:rsidRPr="0A805085">
        <w:rPr>
          <w:rFonts w:ascii="Times New Roman" w:hAnsi="Times New Roman" w:cs="Times New Roman"/>
          <w:sz w:val="24"/>
          <w:szCs w:val="24"/>
        </w:rPr>
        <w:t xml:space="preserve"> of </w:t>
      </w:r>
      <w:r w:rsidR="0086023D">
        <w:rPr>
          <w:rFonts w:ascii="Times New Roman" w:hAnsi="Times New Roman" w:cs="Times New Roman"/>
          <w:sz w:val="24"/>
          <w:szCs w:val="24"/>
        </w:rPr>
        <w:t>the available literature</w:t>
      </w:r>
      <w:r w:rsidRPr="0A805085">
        <w:rPr>
          <w:rFonts w:ascii="Times New Roman" w:hAnsi="Times New Roman" w:cs="Times New Roman"/>
          <w:sz w:val="24"/>
          <w:szCs w:val="24"/>
        </w:rPr>
        <w:t xml:space="preserve"> to generate recommendations that optimize diagnostic </w:t>
      </w:r>
      <w:r w:rsidR="00757492">
        <w:rPr>
          <w:rFonts w:ascii="Times New Roman" w:hAnsi="Times New Roman" w:cs="Times New Roman"/>
          <w:sz w:val="24"/>
          <w:szCs w:val="24"/>
        </w:rPr>
        <w:t>utility</w:t>
      </w:r>
      <w:r w:rsidRPr="0A805085">
        <w:rPr>
          <w:rFonts w:ascii="Times New Roman" w:hAnsi="Times New Roman" w:cs="Times New Roman"/>
          <w:sz w:val="24"/>
          <w:szCs w:val="24"/>
        </w:rPr>
        <w:t xml:space="preserve">, clinical effectiveness, and patient </w:t>
      </w:r>
      <w:commentRangeStart w:id="4"/>
      <w:r w:rsidRPr="0A805085">
        <w:rPr>
          <w:rFonts w:ascii="Times New Roman" w:hAnsi="Times New Roman" w:cs="Times New Roman"/>
          <w:sz w:val="24"/>
          <w:szCs w:val="24"/>
        </w:rPr>
        <w:t>outcomes</w:t>
      </w:r>
      <w:commentRangeEnd w:id="4"/>
      <w:r w:rsidR="00757492" w:rsidRPr="0A805085">
        <w:rPr>
          <w:rStyle w:val="CommentReference"/>
          <w:rFonts w:ascii="Times New Roman" w:hAnsi="Times New Roman" w:cs="Times New Roman"/>
          <w:sz w:val="24"/>
          <w:szCs w:val="24"/>
        </w:rPr>
        <w:commentReference w:id="4"/>
      </w:r>
      <w:r w:rsidRPr="0A805085">
        <w:rPr>
          <w:rFonts w:ascii="Times New Roman" w:hAnsi="Times New Roman" w:cs="Times New Roman"/>
          <w:sz w:val="24"/>
          <w:szCs w:val="24"/>
        </w:rPr>
        <w:t xml:space="preserve"> </w:t>
      </w:r>
      <w:sdt>
        <w:sdtPr>
          <w:rPr>
            <w:rFonts w:ascii="Times New Roman" w:eastAsia="Times New Roman" w:hAnsi="Times New Roman" w:cs="Times New Roman"/>
            <w:strike/>
            <w:sz w:val="24"/>
            <w:szCs w:val="24"/>
          </w:rPr>
          <w:alias w:val="SmartCite Citation"/>
          <w:tag w:val="20a90c04-bbe1-4fd8-8697-1fe2ff9d2ce2:8ddd2d57-5c0a-4be0-9bf0-a1a2651d1f67,20a90c04-bbe1-4fd8-8697-1fe2ff9d2ce2:7d0e920d-047b-4cd4-b608-65766b068e20,20a90c04-bbe1-4fd8-8697-1fe2ff9d2ce2:8f2a304b-59bd-481f-b777-f1869b81c38e+"/>
          <w:id w:val="-1031790767"/>
          <w:placeholder>
            <w:docPart w:val="DefaultPlaceholder_-1854013440"/>
          </w:placeholder>
        </w:sdtPr>
        <w:sdtContent>
          <w:r w:rsidRPr="0A805085">
            <w:rPr>
              <w:rFonts w:ascii="Times New Roman" w:eastAsia="Times New Roman" w:hAnsi="Times New Roman" w:cs="Times New Roman"/>
              <w:sz w:val="24"/>
              <w:szCs w:val="24"/>
            </w:rPr>
            <w:t>(1-4)</w:t>
          </w:r>
        </w:sdtContent>
      </w:sdt>
      <w:r w:rsidR="00E818AF" w:rsidRPr="002E4CB5">
        <w:rPr>
          <w:rFonts w:ascii="Times New Roman" w:eastAsia="Times New Roman" w:hAnsi="Times New Roman" w:cs="Times New Roman"/>
          <w:sz w:val="24"/>
          <w:szCs w:val="24"/>
        </w:rPr>
        <w:t xml:space="preserve">. </w:t>
      </w:r>
      <w:r w:rsidRPr="0A805085">
        <w:rPr>
          <w:rFonts w:ascii="Times New Roman" w:hAnsi="Times New Roman" w:cs="Times New Roman"/>
          <w:sz w:val="24"/>
          <w:szCs w:val="24"/>
        </w:rPr>
        <w:t xml:space="preserve">In contrast, most clinical </w:t>
      </w:r>
      <w:r w:rsidRPr="0A805085">
        <w:rPr>
          <w:rFonts w:ascii="Times New Roman" w:hAnsi="Times New Roman" w:cs="Times New Roman"/>
          <w:sz w:val="24"/>
          <w:szCs w:val="24"/>
        </w:rPr>
        <w:lastRenderedPageBreak/>
        <w:t xml:space="preserve">practice guidelines utilize </w:t>
      </w:r>
      <w:r w:rsidR="36E6CAEE" w:rsidRPr="0A805085">
        <w:rPr>
          <w:rFonts w:ascii="Times New Roman" w:hAnsi="Times New Roman" w:cs="Times New Roman"/>
          <w:sz w:val="24"/>
          <w:szCs w:val="24"/>
        </w:rPr>
        <w:t>best</w:t>
      </w:r>
      <w:r w:rsidRPr="0A805085">
        <w:rPr>
          <w:rFonts w:ascii="Times New Roman" w:hAnsi="Times New Roman" w:cs="Times New Roman"/>
          <w:sz w:val="24"/>
          <w:szCs w:val="24"/>
        </w:rPr>
        <w:t xml:space="preserve"> available evidence in their development </w:t>
      </w:r>
      <w:sdt>
        <w:sdtPr>
          <w:rPr>
            <w:rFonts w:ascii="Times New Roman" w:eastAsia="Times New Roman" w:hAnsi="Times New Roman" w:cs="Times New Roman"/>
            <w:sz w:val="24"/>
            <w:szCs w:val="24"/>
          </w:rPr>
          <w:alias w:val="SmartCite Citation"/>
          <w:tag w:val="20a90c04-bbe1-4fd8-8697-1fe2ff9d2ce2:8f2a304b-59bd-481f-b777-f1869b81c38e+"/>
          <w:id w:val="793481391"/>
          <w:placeholder>
            <w:docPart w:val="DefaultPlaceholder_-1854013440"/>
          </w:placeholder>
        </w:sdtPr>
        <w:sdtContent>
          <w:r w:rsidRPr="002E4CB5">
            <w:rPr>
              <w:rFonts w:ascii="Times New Roman" w:eastAsia="Times New Roman" w:hAnsi="Times New Roman" w:cs="Times New Roman"/>
              <w:sz w:val="24"/>
              <w:szCs w:val="24"/>
            </w:rPr>
            <w:t>(4)</w:t>
          </w:r>
        </w:sdtContent>
      </w:sdt>
      <w:r w:rsidRPr="002E4CB5">
        <w:rPr>
          <w:rFonts w:ascii="Times New Roman" w:eastAsia="Times New Roman" w:hAnsi="Times New Roman" w:cs="Times New Roman"/>
          <w:sz w:val="24"/>
          <w:szCs w:val="24"/>
        </w:rPr>
        <w:t>.</w:t>
      </w:r>
      <w:r w:rsidR="002E4CB5" w:rsidRPr="002E4CB5">
        <w:rPr>
          <w:rFonts w:ascii="Times New Roman" w:eastAsia="Times New Roman" w:hAnsi="Times New Roman" w:cs="Times New Roman"/>
          <w:sz w:val="24"/>
          <w:szCs w:val="24"/>
        </w:rPr>
        <w:t xml:space="preserve"> </w:t>
      </w:r>
      <w:r w:rsidRPr="0A805085">
        <w:rPr>
          <w:rFonts w:ascii="Times New Roman" w:eastAsia="Times New Roman" w:hAnsi="Times New Roman" w:cs="Times New Roman"/>
          <w:sz w:val="24"/>
          <w:szCs w:val="24"/>
        </w:rPr>
        <w:t>SRs</w:t>
      </w:r>
      <w:r w:rsidRPr="00B92C3D">
        <w:rPr>
          <w:rFonts w:ascii="Times New Roman" w:eastAsia="Times New Roman" w:hAnsi="Times New Roman" w:cs="Times New Roman"/>
          <w:sz w:val="24"/>
          <w:szCs w:val="24"/>
        </w:rPr>
        <w:t>, as defined by Lim, et al., utilize</w:t>
      </w:r>
      <w:sdt>
        <w:sdtPr>
          <w:rPr>
            <w:rFonts w:ascii="Times New Roman" w:eastAsia="Times New Roman" w:hAnsi="Times New Roman" w:cs="Times New Roman"/>
            <w:strike/>
            <w:sz w:val="24"/>
            <w:szCs w:val="24"/>
          </w:rPr>
          <w:alias w:val="SmartCite Citation"/>
          <w:tag w:val="20a90c04-bbe1-4fd8-8697-1fe2ff9d2ce2:6ac87172-ff11-4140-9a06-bf25b7d3ca14+"/>
          <w:id w:val="1577093379"/>
          <w:placeholder>
            <w:docPart w:val="DefaultPlaceholder_-1854013440"/>
          </w:placeholder>
        </w:sdtPr>
        <w:sdtContent>
          <w:r w:rsidRPr="00B92C3D">
            <w:rPr>
              <w:rFonts w:ascii="Times New Roman" w:eastAsia="Times New Roman" w:hAnsi="Times New Roman" w:cs="Times New Roman"/>
              <w:sz w:val="24"/>
              <w:szCs w:val="24"/>
            </w:rPr>
            <w:t xml:space="preserve"> structured literature searches, critical appraisal of methodological quality, and, when appropriate, meta-analysis to synthesize evidence and generate more precise estimates</w:t>
          </w:r>
          <w:r w:rsidR="004414F1">
            <w:rPr>
              <w:rFonts w:ascii="Times New Roman" w:eastAsia="Times New Roman" w:hAnsi="Times New Roman" w:cs="Times New Roman"/>
              <w:sz w:val="24"/>
              <w:szCs w:val="24"/>
            </w:rPr>
            <w:t xml:space="preserve"> </w:t>
          </w:r>
        </w:sdtContent>
      </w:sdt>
      <w:r w:rsidRPr="0A805085">
        <w:rPr>
          <w:rFonts w:ascii="Times New Roman" w:eastAsia="Times New Roman" w:hAnsi="Times New Roman" w:cs="Times New Roman"/>
          <w:sz w:val="24"/>
          <w:szCs w:val="24"/>
        </w:rPr>
        <w:t>(9)</w:t>
      </w:r>
      <w:r w:rsidRPr="0A805085">
        <w:rPr>
          <w:rFonts w:ascii="Times New Roman" w:hAnsi="Times New Roman" w:cs="Times New Roman"/>
          <w:sz w:val="24"/>
          <w:szCs w:val="24"/>
        </w:rPr>
        <w:t xml:space="preserve">.  </w:t>
      </w:r>
      <w:r w:rsidRPr="0A805085">
        <w:rPr>
          <w:rFonts w:ascii="Times New Roman" w:eastAsia="Times New Roman" w:hAnsi="Times New Roman" w:cs="Times New Roman"/>
          <w:sz w:val="24"/>
          <w:szCs w:val="24"/>
        </w:rPr>
        <w:t>EBLMGs</w:t>
      </w:r>
      <w:r w:rsidRPr="0A805085">
        <w:rPr>
          <w:rFonts w:ascii="Times New Roman" w:hAnsi="Times New Roman" w:cs="Times New Roman"/>
          <w:sz w:val="24"/>
          <w:szCs w:val="24"/>
        </w:rPr>
        <w:t xml:space="preserve"> summarize the evidence and address specific questions around the target</w:t>
      </w:r>
      <w:r w:rsidR="002E4CB5">
        <w:rPr>
          <w:rFonts w:ascii="Times New Roman" w:hAnsi="Times New Roman" w:cs="Times New Roman"/>
          <w:sz w:val="24"/>
          <w:szCs w:val="24"/>
        </w:rPr>
        <w:t xml:space="preserve"> </w:t>
      </w:r>
      <w:r w:rsidRPr="0A805085">
        <w:rPr>
          <w:rFonts w:ascii="Times New Roman" w:hAnsi="Times New Roman" w:cs="Times New Roman"/>
          <w:sz w:val="24"/>
          <w:szCs w:val="24"/>
        </w:rPr>
        <w:t xml:space="preserve">diagnostic test or practice </w:t>
      </w:r>
      <w:sdt>
        <w:sdtPr>
          <w:rPr>
            <w:rFonts w:ascii="Times New Roman" w:eastAsia="Times New Roman" w:hAnsi="Times New Roman" w:cs="Times New Roman"/>
            <w:strike/>
            <w:sz w:val="24"/>
            <w:szCs w:val="24"/>
          </w:rPr>
          <w:alias w:val="SmartCite Citation"/>
          <w:tag w:val="20a90c04-bbe1-4fd8-8697-1fe2ff9d2ce2:6ac87172-ff11-4140-9a06-bf25b7d3ca14+"/>
          <w:id w:val="1381976739"/>
          <w:placeholder>
            <w:docPart w:val="DefaultPlaceholder_-1854013440"/>
          </w:placeholder>
        </w:sdtPr>
        <w:sdtContent>
          <w:r w:rsidRPr="0A805085">
            <w:rPr>
              <w:rFonts w:ascii="Times New Roman" w:eastAsia="Times New Roman" w:hAnsi="Times New Roman" w:cs="Times New Roman"/>
              <w:sz w:val="24"/>
              <w:szCs w:val="24"/>
            </w:rPr>
            <w:t>(9)</w:t>
          </w:r>
        </w:sdtContent>
      </w:sdt>
      <w:r w:rsidRPr="0A805085">
        <w:rPr>
          <w:rFonts w:ascii="Times New Roman" w:hAnsi="Times New Roman" w:cs="Times New Roman"/>
          <w:sz w:val="24"/>
          <w:szCs w:val="24"/>
        </w:rPr>
        <w:t xml:space="preserve">. </w:t>
      </w:r>
      <w:r w:rsidR="00D949DA">
        <w:rPr>
          <w:rFonts w:ascii="Times New Roman" w:hAnsi="Times New Roman" w:cs="Times New Roman"/>
          <w:sz w:val="24"/>
          <w:szCs w:val="24"/>
        </w:rPr>
        <w:t xml:space="preserve">These questions are often formulated using a PICO framework that defines the Patient </w:t>
      </w:r>
      <w:r w:rsidR="000D0116">
        <w:rPr>
          <w:rFonts w:ascii="Times New Roman" w:hAnsi="Times New Roman" w:cs="Times New Roman"/>
          <w:sz w:val="24"/>
          <w:szCs w:val="24"/>
        </w:rPr>
        <w:t xml:space="preserve">population, Intervention or practice, Comparator, and Outcome of interest (10). </w:t>
      </w:r>
      <w:r w:rsidRPr="0A805085">
        <w:rPr>
          <w:rFonts w:ascii="Times New Roman" w:hAnsi="Times New Roman" w:cs="Times New Roman"/>
          <w:sz w:val="24"/>
          <w:szCs w:val="24"/>
        </w:rPr>
        <w:t>The expert panel conducting the SR rates the overall strength of the body of evidence in support of the practice and categorizes recommendations</w:t>
      </w:r>
      <w:r w:rsidRPr="0A805085">
        <w:rPr>
          <w:rFonts w:ascii="Times New Roman" w:eastAsia="Times New Roman" w:hAnsi="Times New Roman" w:cs="Times New Roman"/>
          <w:strike/>
          <w:sz w:val="24"/>
          <w:szCs w:val="24"/>
        </w:rPr>
        <w:t xml:space="preserve"> </w:t>
      </w:r>
      <w:sdt>
        <w:sdtPr>
          <w:rPr>
            <w:rFonts w:ascii="Times New Roman" w:eastAsia="Times New Roman" w:hAnsi="Times New Roman" w:cs="Times New Roman"/>
            <w:strike/>
            <w:sz w:val="24"/>
            <w:szCs w:val="24"/>
          </w:rPr>
          <w:alias w:val="SmartCite Citation"/>
          <w:tag w:val="20a90c04-bbe1-4fd8-8697-1fe2ff9d2ce2:2323da7f-48e0-45ca-99e2-3f42d80f232a+"/>
          <w:id w:val="-388655784"/>
          <w:placeholder>
            <w:docPart w:val="13B3A6CD4F6441F5823CE82A1102698A"/>
          </w:placeholder>
        </w:sdtPr>
        <w:sdtContent>
          <w:r w:rsidRPr="0A805085">
            <w:rPr>
              <w:rFonts w:ascii="Times New Roman" w:eastAsia="Times New Roman" w:hAnsi="Times New Roman" w:cs="Times New Roman"/>
              <w:sz w:val="24"/>
              <w:szCs w:val="24"/>
            </w:rPr>
            <w:t>(10)</w:t>
          </w:r>
        </w:sdtContent>
      </w:sdt>
      <w:r w:rsidRPr="002E4CB5">
        <w:rPr>
          <w:rFonts w:ascii="Times New Roman" w:eastAsia="Times New Roman" w:hAnsi="Times New Roman" w:cs="Times New Roman"/>
          <w:sz w:val="24"/>
          <w:szCs w:val="24"/>
        </w:rPr>
        <w:t>.</w:t>
      </w:r>
    </w:p>
    <w:p w14:paraId="102F9514" w14:textId="77777777" w:rsidR="00DA28F0" w:rsidRPr="00075B5A" w:rsidRDefault="00DA28F0" w:rsidP="0A805085">
      <w:pPr>
        <w:spacing w:after="0" w:line="480" w:lineRule="auto"/>
      </w:pPr>
    </w:p>
    <w:p w14:paraId="62174B7C" w14:textId="0BC3AC75" w:rsidR="0A805085" w:rsidRDefault="00CF6D0C" w:rsidP="0A805085">
      <w:pPr>
        <w:spacing w:after="0" w:line="480"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The quality of evidence-based recommendations is dependent upon the quality of the underlying </w:t>
      </w:r>
      <w:commentRangeStart w:id="5"/>
      <w:r>
        <w:rPr>
          <w:rFonts w:ascii="Times New Roman" w:eastAsia="Times New Roman" w:hAnsi="Times New Roman" w:cs="Times New Roman"/>
          <w:sz w:val="24"/>
          <w:szCs w:val="24"/>
        </w:rPr>
        <w:t>studies</w:t>
      </w:r>
      <w:commentRangeEnd w:id="5"/>
      <w:r w:rsidR="00127473">
        <w:rPr>
          <w:rStyle w:val="CommentReference"/>
          <w:rFonts w:ascii="Times New Roman" w:eastAsia="Times New Roman" w:hAnsi="Times New Roman" w:cs="Times New Roman"/>
          <w:sz w:val="24"/>
          <w:szCs w:val="24"/>
        </w:rPr>
        <w:commentReference w:id="5"/>
      </w:r>
      <w:r w:rsidR="002E4CB5">
        <w:rPr>
          <w:rFonts w:ascii="Times New Roman" w:eastAsia="Times New Roman" w:hAnsi="Times New Roman" w:cs="Times New Roman"/>
          <w:sz w:val="24"/>
          <w:szCs w:val="24"/>
        </w:rPr>
        <w:t xml:space="preserve"> (REF)</w:t>
      </w:r>
      <w:r>
        <w:rPr>
          <w:rFonts w:ascii="Times New Roman" w:eastAsia="Times New Roman" w:hAnsi="Times New Roman" w:cs="Times New Roman"/>
          <w:sz w:val="24"/>
          <w:szCs w:val="24"/>
        </w:rPr>
        <w:t xml:space="preserve">. During development of several </w:t>
      </w:r>
      <w:r w:rsidR="00107FC0">
        <w:rPr>
          <w:rFonts w:ascii="Times New Roman" w:eastAsia="Times New Roman" w:hAnsi="Times New Roman" w:cs="Times New Roman"/>
          <w:sz w:val="24"/>
          <w:szCs w:val="24"/>
        </w:rPr>
        <w:t>ASM</w:t>
      </w:r>
      <w:r>
        <w:rPr>
          <w:rFonts w:ascii="Times New Roman" w:eastAsia="Times New Roman" w:hAnsi="Times New Roman" w:cs="Times New Roman"/>
          <w:sz w:val="24"/>
          <w:szCs w:val="24"/>
        </w:rPr>
        <w:t xml:space="preserve"> </w:t>
      </w:r>
      <w:r w:rsidR="00107FC0" w:rsidRPr="0A805085">
        <w:rPr>
          <w:rFonts w:ascii="Times New Roman" w:eastAsia="Times New Roman" w:hAnsi="Times New Roman" w:cs="Times New Roman"/>
          <w:sz w:val="24"/>
          <w:szCs w:val="24"/>
        </w:rPr>
        <w:t>EBLMGs</w:t>
      </w:r>
      <w:r w:rsidR="00055F32">
        <w:rPr>
          <w:rFonts w:ascii="Times New Roman" w:eastAsia="Times New Roman" w:hAnsi="Times New Roman" w:cs="Times New Roman"/>
          <w:sz w:val="24"/>
          <w:szCs w:val="24"/>
        </w:rPr>
        <w:t>, investigators frequently encountered studies that lacked critical design</w:t>
      </w:r>
      <w:r w:rsidR="00FA4F42">
        <w:rPr>
          <w:rFonts w:ascii="Times New Roman" w:eastAsia="Times New Roman" w:hAnsi="Times New Roman" w:cs="Times New Roman"/>
          <w:sz w:val="24"/>
          <w:szCs w:val="24"/>
        </w:rPr>
        <w:t xml:space="preserve">, methodological, or reporting elements necessary for systematic review and evidence synthesis (22-25). </w:t>
      </w:r>
      <w:r w:rsidR="00417EFE">
        <w:rPr>
          <w:rFonts w:ascii="Times New Roman" w:eastAsia="Times New Roman" w:hAnsi="Times New Roman" w:cs="Times New Roman"/>
          <w:sz w:val="24"/>
          <w:szCs w:val="24"/>
        </w:rPr>
        <w:t>In some cases, studies could not be fully evaluated or included in the evidence base because insufficient information was available to determine whether findings could be generalized to other patient populations, practice settings, or laboratories.</w:t>
      </w:r>
    </w:p>
    <w:p w14:paraId="17434CF7" w14:textId="77777777" w:rsidR="00E9668A" w:rsidRPr="00075B5A" w:rsidRDefault="00E9668A" w:rsidP="0A805085">
      <w:pPr>
        <w:spacing w:after="0" w:line="480" w:lineRule="auto"/>
        <w:rPr>
          <w:rFonts w:ascii="Times New Roman" w:eastAsia="Times New Roman" w:hAnsi="Times New Roman" w:cs="Times New Roman"/>
          <w:strike/>
          <w:sz w:val="24"/>
          <w:szCs w:val="24"/>
        </w:rPr>
      </w:pPr>
    </w:p>
    <w:p w14:paraId="3560F4B9" w14:textId="25403495" w:rsidR="006707AA" w:rsidRPr="00075B5A" w:rsidRDefault="00D32BD8" w:rsidP="00CB5558">
      <w:pPr>
        <w:spacing w:after="0" w:line="480" w:lineRule="auto"/>
      </w:pPr>
      <w:r>
        <w:rPr>
          <w:rFonts w:ascii="Times New Roman" w:hAnsi="Times New Roman" w:cs="Times New Roman"/>
          <w:sz w:val="24"/>
          <w:szCs w:val="24"/>
        </w:rPr>
        <w:t xml:space="preserve">Several </w:t>
      </w:r>
      <w:r w:rsidR="007478D2">
        <w:rPr>
          <w:rFonts w:ascii="Times New Roman" w:hAnsi="Times New Roman" w:cs="Times New Roman"/>
          <w:sz w:val="24"/>
          <w:szCs w:val="24"/>
        </w:rPr>
        <w:t xml:space="preserve">resources have been developed to strengthen evidence-based guideline development and evidence synthesis.  </w:t>
      </w:r>
      <w:r w:rsidR="00C748B4">
        <w:rPr>
          <w:rFonts w:ascii="Times New Roman" w:hAnsi="Times New Roman" w:cs="Times New Roman"/>
          <w:sz w:val="24"/>
          <w:szCs w:val="24"/>
        </w:rPr>
        <w:t xml:space="preserve">At the guideline level, frameworks such as AGREE II and GRADE provide structured approaches for evaluating evidence and developing recommendations. (1, </w:t>
      </w:r>
      <w:r w:rsidR="00B2799B">
        <w:rPr>
          <w:rFonts w:ascii="Times New Roman" w:hAnsi="Times New Roman" w:cs="Times New Roman"/>
          <w:sz w:val="24"/>
          <w:szCs w:val="24"/>
        </w:rPr>
        <w:t xml:space="preserve">2, 18). At the </w:t>
      </w:r>
      <w:r w:rsidR="00107FC0">
        <w:rPr>
          <w:rFonts w:ascii="Times New Roman" w:hAnsi="Times New Roman" w:cs="Times New Roman"/>
          <w:sz w:val="24"/>
          <w:szCs w:val="24"/>
        </w:rPr>
        <w:t>SR</w:t>
      </w:r>
      <w:r w:rsidR="00B2799B">
        <w:rPr>
          <w:rFonts w:ascii="Times New Roman" w:hAnsi="Times New Roman" w:cs="Times New Roman"/>
          <w:sz w:val="24"/>
          <w:szCs w:val="24"/>
        </w:rPr>
        <w:t xml:space="preserve"> level, resources such as PRISMA</w:t>
      </w:r>
      <w:r w:rsidR="00B76597">
        <w:rPr>
          <w:rFonts w:ascii="Times New Roman" w:hAnsi="Times New Roman" w:cs="Times New Roman"/>
          <w:sz w:val="24"/>
          <w:szCs w:val="24"/>
        </w:rPr>
        <w:t>, AMSTAR</w:t>
      </w:r>
      <w:r w:rsidR="002054E3">
        <w:rPr>
          <w:rFonts w:ascii="Times New Roman" w:hAnsi="Times New Roman" w:cs="Times New Roman"/>
          <w:sz w:val="24"/>
          <w:szCs w:val="24"/>
        </w:rPr>
        <w:t>2</w:t>
      </w:r>
      <w:r w:rsidR="00B2799B">
        <w:rPr>
          <w:rFonts w:ascii="Times New Roman" w:hAnsi="Times New Roman" w:cs="Times New Roman"/>
          <w:sz w:val="24"/>
          <w:szCs w:val="24"/>
        </w:rPr>
        <w:t xml:space="preserve"> and t</w:t>
      </w:r>
      <w:r w:rsidR="00C04DE6">
        <w:rPr>
          <w:rFonts w:ascii="Times New Roman" w:hAnsi="Times New Roman" w:cs="Times New Roman"/>
          <w:sz w:val="24"/>
          <w:szCs w:val="24"/>
        </w:rPr>
        <w:t>he</w:t>
      </w:r>
      <w:r w:rsidR="0A805085" w:rsidRPr="0A805085">
        <w:rPr>
          <w:rFonts w:ascii="Times New Roman" w:hAnsi="Times New Roman" w:cs="Times New Roman"/>
          <w:sz w:val="24"/>
          <w:szCs w:val="24"/>
        </w:rPr>
        <w:t xml:space="preserve"> CDC’s Laboratory Medicine Best Practices (LMBP) initiative </w:t>
      </w:r>
      <w:r w:rsidR="006B0BC6">
        <w:rPr>
          <w:rFonts w:ascii="Times New Roman" w:hAnsi="Times New Roman" w:cs="Times New Roman"/>
          <w:sz w:val="24"/>
          <w:szCs w:val="24"/>
        </w:rPr>
        <w:t>and its A6 framework</w:t>
      </w:r>
      <w:r w:rsidR="00A805CD">
        <w:rPr>
          <w:rFonts w:ascii="Times New Roman" w:hAnsi="Times New Roman" w:cs="Times New Roman"/>
          <w:sz w:val="24"/>
          <w:szCs w:val="24"/>
        </w:rPr>
        <w:t xml:space="preserve"> </w:t>
      </w:r>
      <w:r w:rsidR="0A805085" w:rsidRPr="0A805085">
        <w:rPr>
          <w:rFonts w:ascii="Times New Roman" w:hAnsi="Times New Roman" w:cs="Times New Roman"/>
          <w:sz w:val="24"/>
          <w:szCs w:val="24"/>
        </w:rPr>
        <w:t xml:space="preserve">(2011) </w:t>
      </w:r>
      <w:r w:rsidR="00903E81">
        <w:rPr>
          <w:rFonts w:ascii="Times New Roman" w:hAnsi="Times New Roman" w:cs="Times New Roman"/>
          <w:sz w:val="24"/>
          <w:szCs w:val="24"/>
        </w:rPr>
        <w:t>provide</w:t>
      </w:r>
      <w:r w:rsidR="0A805085" w:rsidRPr="0A805085">
        <w:rPr>
          <w:rFonts w:ascii="Times New Roman" w:hAnsi="Times New Roman" w:cs="Times New Roman"/>
          <w:sz w:val="24"/>
          <w:szCs w:val="24"/>
        </w:rPr>
        <w:t xml:space="preserve"> </w:t>
      </w:r>
      <w:r w:rsidR="00903E81">
        <w:rPr>
          <w:rFonts w:ascii="Times New Roman" w:hAnsi="Times New Roman" w:cs="Times New Roman"/>
          <w:sz w:val="24"/>
          <w:szCs w:val="24"/>
        </w:rPr>
        <w:t>structured approaches</w:t>
      </w:r>
      <w:r w:rsidR="0A805085" w:rsidRPr="0A805085">
        <w:rPr>
          <w:rFonts w:ascii="Times New Roman" w:hAnsi="Times New Roman" w:cs="Times New Roman"/>
          <w:sz w:val="24"/>
          <w:szCs w:val="24"/>
        </w:rPr>
        <w:t xml:space="preserve"> for conducting SRs and constructing EB</w:t>
      </w:r>
      <w:r w:rsidR="00D16318">
        <w:rPr>
          <w:rFonts w:ascii="Times New Roman" w:hAnsi="Times New Roman" w:cs="Times New Roman"/>
          <w:sz w:val="24"/>
          <w:szCs w:val="24"/>
        </w:rPr>
        <w:t>LM</w:t>
      </w:r>
      <w:r w:rsidR="0A805085" w:rsidRPr="0A805085">
        <w:rPr>
          <w:rFonts w:ascii="Times New Roman" w:hAnsi="Times New Roman" w:cs="Times New Roman"/>
          <w:sz w:val="24"/>
          <w:szCs w:val="24"/>
        </w:rPr>
        <w:t xml:space="preserve">Gs for laboratory </w:t>
      </w:r>
      <w:commentRangeStart w:id="6"/>
      <w:r w:rsidR="0A805085" w:rsidRPr="0A805085">
        <w:rPr>
          <w:rFonts w:ascii="Times New Roman" w:hAnsi="Times New Roman" w:cs="Times New Roman"/>
          <w:sz w:val="24"/>
          <w:szCs w:val="24"/>
        </w:rPr>
        <w:t>diagnostics</w:t>
      </w:r>
      <w:commentRangeEnd w:id="6"/>
      <w:r w:rsidR="00127473">
        <w:rPr>
          <w:rStyle w:val="CommentReference"/>
          <w:rFonts w:ascii="Times New Roman" w:hAnsi="Times New Roman" w:cs="Times New Roman"/>
          <w:sz w:val="24"/>
          <w:szCs w:val="24"/>
        </w:rPr>
        <w:commentReference w:id="6"/>
      </w:r>
      <w:r w:rsidR="00880FE9">
        <w:rPr>
          <w:rFonts w:ascii="Times New Roman" w:hAnsi="Times New Roman" w:cs="Times New Roman"/>
          <w:sz w:val="24"/>
          <w:szCs w:val="24"/>
        </w:rPr>
        <w:t xml:space="preserve"> </w:t>
      </w:r>
      <w:sdt>
        <w:sdtPr>
          <w:rPr>
            <w:rFonts w:ascii="Times New Roman" w:eastAsia="Times New Roman" w:hAnsi="Times New Roman" w:cs="Times New Roman"/>
            <w:strike/>
            <w:sz w:val="24"/>
            <w:szCs w:val="24"/>
          </w:rPr>
          <w:alias w:val="SmartCite Citation"/>
          <w:tag w:val="20a90c04-bbe1-4fd8-8697-1fe2ff9d2ce2:2323da7f-48e0-45ca-99e2-3f42d80f232a+"/>
          <w:id w:val="-44992441"/>
          <w:placeholder>
            <w:docPart w:val="5F37B5D5C01E4214B9D8956645830975"/>
          </w:placeholder>
        </w:sdtPr>
        <w:sdtContent>
          <w:r w:rsidR="0A805085" w:rsidRPr="0A805085">
            <w:rPr>
              <w:rFonts w:ascii="Times New Roman" w:eastAsia="Times New Roman" w:hAnsi="Times New Roman" w:cs="Times New Roman"/>
              <w:sz w:val="24"/>
              <w:szCs w:val="24"/>
            </w:rPr>
            <w:t>(10</w:t>
          </w:r>
          <w:r w:rsidR="00903E81">
            <w:rPr>
              <w:rFonts w:ascii="Times New Roman" w:eastAsia="Times New Roman" w:hAnsi="Times New Roman" w:cs="Times New Roman"/>
              <w:sz w:val="24"/>
              <w:szCs w:val="24"/>
            </w:rPr>
            <w:t>, 13</w:t>
          </w:r>
        </w:sdtContent>
      </w:sdt>
      <w:r w:rsidR="0A805085" w:rsidRPr="0A805085">
        <w:rPr>
          <w:rFonts w:ascii="Times New Roman" w:hAnsi="Times New Roman" w:cs="Times New Roman"/>
          <w:sz w:val="24"/>
          <w:szCs w:val="24"/>
        </w:rPr>
        <w:t xml:space="preserve">). </w:t>
      </w:r>
      <w:r w:rsidR="00CB5558">
        <w:rPr>
          <w:rFonts w:ascii="Times New Roman" w:hAnsi="Times New Roman" w:cs="Times New Roman"/>
          <w:sz w:val="24"/>
          <w:szCs w:val="24"/>
        </w:rPr>
        <w:t>Together</w:t>
      </w:r>
      <w:r w:rsidR="00A126A2">
        <w:rPr>
          <w:rFonts w:ascii="Times New Roman" w:hAnsi="Times New Roman" w:cs="Times New Roman"/>
          <w:sz w:val="24"/>
          <w:szCs w:val="24"/>
        </w:rPr>
        <w:t>, these frameworks have improved the rigor and consistency of evidence-based practice.</w:t>
      </w:r>
    </w:p>
    <w:p w14:paraId="6A790F0A" w14:textId="77777777" w:rsidR="001737D8" w:rsidRDefault="001737D8" w:rsidP="0A805085">
      <w:pPr>
        <w:spacing w:after="0" w:line="480" w:lineRule="auto"/>
        <w:rPr>
          <w:rFonts w:ascii="Times New Roman" w:hAnsi="Times New Roman" w:cs="Times New Roman"/>
          <w:sz w:val="24"/>
          <w:szCs w:val="24"/>
        </w:rPr>
      </w:pPr>
    </w:p>
    <w:p w14:paraId="5035F6CD" w14:textId="5D08FDD4" w:rsidR="006707AA" w:rsidRDefault="001737D8" w:rsidP="0A80508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Ultimately, however, evidence syntheses and guideline </w:t>
      </w:r>
      <w:r w:rsidRPr="00FA2155">
        <w:rPr>
          <w:rFonts w:ascii="Times New Roman" w:hAnsi="Times New Roman" w:cs="Times New Roman"/>
          <w:sz w:val="24"/>
          <w:szCs w:val="24"/>
        </w:rPr>
        <w:t>recommendations</w:t>
      </w:r>
      <w:r w:rsidR="0A805085" w:rsidRPr="00FA2155">
        <w:rPr>
          <w:rFonts w:ascii="Times New Roman" w:hAnsi="Times New Roman" w:cs="Times New Roman"/>
          <w:sz w:val="24"/>
          <w:szCs w:val="24"/>
        </w:rPr>
        <w:t xml:space="preserve"> are only as strong as the underlying </w:t>
      </w:r>
      <w:r w:rsidR="00355D1C" w:rsidRPr="00FA2155">
        <w:rPr>
          <w:rFonts w:ascii="Times New Roman" w:hAnsi="Times New Roman" w:cs="Times New Roman"/>
          <w:sz w:val="24"/>
          <w:szCs w:val="24"/>
        </w:rPr>
        <w:t>primary studies</w:t>
      </w:r>
      <w:r w:rsidR="0A805085" w:rsidRPr="00FA2155">
        <w:rPr>
          <w:rFonts w:ascii="Times New Roman" w:hAnsi="Times New Roman" w:cs="Times New Roman"/>
          <w:sz w:val="24"/>
          <w:szCs w:val="24"/>
        </w:rPr>
        <w:t>.</w:t>
      </w:r>
      <w:r w:rsidR="002C4A72">
        <w:rPr>
          <w:rFonts w:ascii="Times New Roman" w:hAnsi="Times New Roman" w:cs="Times New Roman"/>
          <w:sz w:val="24"/>
          <w:szCs w:val="24"/>
        </w:rPr>
        <w:t xml:space="preserve"> The</w:t>
      </w:r>
      <w:r w:rsidR="0A805085" w:rsidRPr="0A805085">
        <w:rPr>
          <w:rFonts w:ascii="Times New Roman" w:hAnsi="Times New Roman" w:cs="Times New Roman"/>
          <w:sz w:val="24"/>
          <w:szCs w:val="24"/>
        </w:rPr>
        <w:t xml:space="preserve"> Standards for Reporting Diagnostic Accuracy (STARD) </w:t>
      </w:r>
      <w:r w:rsidR="00022F9B">
        <w:rPr>
          <w:rFonts w:ascii="Times New Roman" w:hAnsi="Times New Roman" w:cs="Times New Roman"/>
          <w:sz w:val="24"/>
          <w:szCs w:val="24"/>
        </w:rPr>
        <w:t>provides guidance regarding study design and reporting</w:t>
      </w:r>
      <w:r w:rsidR="00D86383">
        <w:rPr>
          <w:rFonts w:ascii="Times New Roman" w:hAnsi="Times New Roman" w:cs="Times New Roman"/>
          <w:sz w:val="24"/>
          <w:szCs w:val="24"/>
        </w:rPr>
        <w:t xml:space="preserve"> for diagnostic accuracy studies</w:t>
      </w:r>
      <w:r w:rsidR="00022F9B">
        <w:rPr>
          <w:rFonts w:ascii="Times New Roman" w:hAnsi="Times New Roman" w:cs="Times New Roman"/>
          <w:sz w:val="24"/>
          <w:szCs w:val="24"/>
        </w:rPr>
        <w:t xml:space="preserve"> </w:t>
      </w:r>
      <w:sdt>
        <w:sdtPr>
          <w:rPr>
            <w:rFonts w:ascii="Times New Roman" w:eastAsia="Times New Roman" w:hAnsi="Times New Roman" w:cs="Times New Roman"/>
            <w:strike/>
            <w:sz w:val="24"/>
            <w:szCs w:val="24"/>
          </w:rPr>
          <w:alias w:val="SmartCite Citation"/>
          <w:tag w:val="20a90c04-bbe1-4fd8-8697-1fe2ff9d2ce2:9d842713-58a2-4ea8-ab38-04ab328e9711+"/>
          <w:id w:val="1354075741"/>
          <w:placeholder>
            <w:docPart w:val="DefaultPlaceholder_-1854013440"/>
          </w:placeholder>
        </w:sdtPr>
        <w:sdtContent>
          <w:r w:rsidR="0A805085" w:rsidRPr="0A805085">
            <w:rPr>
              <w:rFonts w:ascii="Times New Roman" w:eastAsia="Times New Roman" w:hAnsi="Times New Roman" w:cs="Times New Roman"/>
              <w:sz w:val="24"/>
              <w:szCs w:val="24"/>
            </w:rPr>
            <w:t>(21)</w:t>
          </w:r>
        </w:sdtContent>
      </w:sdt>
      <w:r w:rsidR="0A805085" w:rsidRPr="0A805085">
        <w:rPr>
          <w:rFonts w:ascii="Times New Roman" w:hAnsi="Times New Roman" w:cs="Times New Roman"/>
          <w:sz w:val="24"/>
          <w:szCs w:val="24"/>
        </w:rPr>
        <w:t xml:space="preserve">. The STARD 2015 lists essential elements needed to conduct a well-performed study, thereby improving the quality of diagnostic study and reducing the number of low-quality studies </w:t>
      </w:r>
      <w:r w:rsidR="0A805085" w:rsidRPr="00D86383">
        <w:rPr>
          <w:rFonts w:ascii="Times New Roman" w:hAnsi="Times New Roman" w:cs="Times New Roman"/>
          <w:sz w:val="24"/>
          <w:szCs w:val="24"/>
        </w:rPr>
        <w:t>published</w:t>
      </w:r>
      <w:r w:rsidR="0A805085" w:rsidRPr="00D86383">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alias w:val="SmartCite Citation"/>
          <w:tag w:val="20a90c04-bbe1-4fd8-8697-1fe2ff9d2ce2:9d842713-58a2-4ea8-ab38-04ab328e9711+"/>
          <w:id w:val="-1120998087"/>
          <w:placeholder>
            <w:docPart w:val="DefaultPlaceholder_-1854013440"/>
          </w:placeholder>
        </w:sdtPr>
        <w:sdtContent>
          <w:r w:rsidR="0A805085" w:rsidRPr="00D86383">
            <w:rPr>
              <w:rFonts w:ascii="Times New Roman" w:eastAsia="Times New Roman" w:hAnsi="Times New Roman" w:cs="Times New Roman"/>
              <w:sz w:val="24"/>
              <w:szCs w:val="24"/>
            </w:rPr>
            <w:t>(21)</w:t>
          </w:r>
        </w:sdtContent>
      </w:sdt>
      <w:r w:rsidR="00F24561" w:rsidRPr="00D86383">
        <w:rPr>
          <w:rFonts w:ascii="Times New Roman" w:eastAsia="Times New Roman" w:hAnsi="Times New Roman" w:cs="Times New Roman"/>
          <w:sz w:val="24"/>
          <w:szCs w:val="24"/>
        </w:rPr>
        <w:t>.</w:t>
      </w:r>
      <w:r w:rsidR="0A805085" w:rsidRPr="0A805085">
        <w:rPr>
          <w:rFonts w:ascii="Times New Roman" w:hAnsi="Times New Roman" w:cs="Times New Roman"/>
          <w:sz w:val="24"/>
          <w:szCs w:val="24"/>
        </w:rPr>
        <w:t xml:space="preserve"> General guidance for designing and reporting process improvement studies is captured in the </w:t>
      </w:r>
      <w:r w:rsidR="00307351">
        <w:rPr>
          <w:rFonts w:ascii="Times New Roman" w:hAnsi="Times New Roman" w:cs="Times New Roman"/>
          <w:sz w:val="24"/>
          <w:szCs w:val="24"/>
        </w:rPr>
        <w:t>SQUIRE</w:t>
      </w:r>
      <w:r w:rsidR="0A805085" w:rsidRPr="0A805085">
        <w:rPr>
          <w:rFonts w:ascii="Times New Roman" w:hAnsi="Times New Roman" w:cs="Times New Roman"/>
          <w:sz w:val="24"/>
          <w:szCs w:val="24"/>
        </w:rPr>
        <w:t xml:space="preserve"> </w:t>
      </w:r>
      <w:r w:rsidR="0A805085" w:rsidRPr="00D86383">
        <w:rPr>
          <w:rFonts w:ascii="Times New Roman" w:hAnsi="Times New Roman" w:cs="Times New Roman"/>
          <w:sz w:val="24"/>
          <w:szCs w:val="24"/>
        </w:rPr>
        <w:t xml:space="preserve">guidance </w:t>
      </w:r>
      <w:commentRangeStart w:id="7"/>
      <w:r w:rsidR="0A805085" w:rsidRPr="00B92C3D">
        <w:rPr>
          <w:rFonts w:ascii="Times New Roman" w:hAnsi="Times New Roman" w:cs="Times New Roman"/>
          <w:sz w:val="24"/>
          <w:szCs w:val="24"/>
          <w:highlight w:val="yellow"/>
        </w:rPr>
        <w:t>(ref</w:t>
      </w:r>
      <w:r w:rsidR="0A805085" w:rsidRPr="00D86383">
        <w:rPr>
          <w:rFonts w:ascii="Times New Roman" w:hAnsi="Times New Roman" w:cs="Times New Roman"/>
          <w:sz w:val="24"/>
          <w:szCs w:val="24"/>
          <w:highlight w:val="yellow"/>
        </w:rPr>
        <w:t>)</w:t>
      </w:r>
      <w:commentRangeStart w:id="8"/>
      <w:r w:rsidR="0A805085" w:rsidRPr="00D86383">
        <w:rPr>
          <w:rFonts w:ascii="Times New Roman" w:eastAsia="Times New Roman" w:hAnsi="Times New Roman" w:cs="Times New Roman"/>
          <w:sz w:val="24"/>
          <w:szCs w:val="24"/>
          <w:highlight w:val="yellow"/>
        </w:rPr>
        <w:t>.</w:t>
      </w:r>
      <w:commentRangeEnd w:id="8"/>
      <w:r w:rsidR="7DDB2520" w:rsidRPr="00D86383">
        <w:rPr>
          <w:rStyle w:val="CommentReference"/>
          <w:rFonts w:ascii="Times New Roman" w:eastAsia="Times New Roman" w:hAnsi="Times New Roman" w:cs="Times New Roman"/>
          <w:sz w:val="24"/>
          <w:szCs w:val="24"/>
        </w:rPr>
        <w:commentReference w:id="8"/>
      </w:r>
      <w:commentRangeEnd w:id="7"/>
      <w:r w:rsidR="7DDB2520" w:rsidRPr="00D86383">
        <w:rPr>
          <w:rStyle w:val="CommentReference"/>
          <w:rFonts w:ascii="Times New Roman" w:eastAsia="Times New Roman" w:hAnsi="Times New Roman" w:cs="Times New Roman"/>
          <w:sz w:val="24"/>
          <w:szCs w:val="24"/>
        </w:rPr>
        <w:commentReference w:id="7"/>
      </w:r>
      <w:r w:rsidR="0A805085" w:rsidRPr="00D86383">
        <w:rPr>
          <w:rFonts w:ascii="Times New Roman" w:eastAsia="Times New Roman" w:hAnsi="Times New Roman" w:cs="Times New Roman"/>
          <w:sz w:val="24"/>
          <w:szCs w:val="24"/>
        </w:rPr>
        <w:t xml:space="preserve"> </w:t>
      </w:r>
      <w:r w:rsidR="0A805085" w:rsidRPr="0A805085">
        <w:rPr>
          <w:rFonts w:ascii="Times New Roman" w:hAnsi="Times New Roman" w:cs="Times New Roman"/>
          <w:sz w:val="24"/>
          <w:szCs w:val="24"/>
        </w:rPr>
        <w:t xml:space="preserve">Recognizing the need for more discipline specific guidance, </w:t>
      </w:r>
      <w:r w:rsidR="00307351">
        <w:rPr>
          <w:rFonts w:ascii="Times New Roman" w:hAnsi="Times New Roman" w:cs="Times New Roman"/>
          <w:sz w:val="24"/>
          <w:szCs w:val="24"/>
        </w:rPr>
        <w:t>SQUIRE</w:t>
      </w:r>
      <w:r w:rsidR="0A805085" w:rsidRPr="0A805085">
        <w:rPr>
          <w:rFonts w:ascii="Times New Roman" w:hAnsi="Times New Roman" w:cs="Times New Roman"/>
          <w:sz w:val="24"/>
          <w:szCs w:val="24"/>
        </w:rPr>
        <w:t xml:space="preserve"> has been extended into areas of education (</w:t>
      </w:r>
      <w:r w:rsidR="00307351">
        <w:rPr>
          <w:rFonts w:ascii="Times New Roman" w:hAnsi="Times New Roman" w:cs="Times New Roman"/>
          <w:sz w:val="24"/>
          <w:szCs w:val="24"/>
        </w:rPr>
        <w:t>SQUIRE</w:t>
      </w:r>
      <w:r w:rsidR="0A805085" w:rsidRPr="0A805085">
        <w:rPr>
          <w:rFonts w:ascii="Times New Roman" w:hAnsi="Times New Roman" w:cs="Times New Roman"/>
          <w:sz w:val="24"/>
          <w:szCs w:val="24"/>
        </w:rPr>
        <w:t xml:space="preserve">-ED </w:t>
      </w:r>
      <w:r w:rsidR="0A805085" w:rsidRPr="00B92C3D">
        <w:rPr>
          <w:rFonts w:ascii="Times New Roman" w:hAnsi="Times New Roman" w:cs="Times New Roman"/>
          <w:sz w:val="24"/>
          <w:szCs w:val="24"/>
          <w:highlight w:val="yellow"/>
        </w:rPr>
        <w:t>[</w:t>
      </w:r>
      <w:r w:rsidR="00D86383">
        <w:rPr>
          <w:rFonts w:ascii="Times New Roman" w:hAnsi="Times New Roman" w:cs="Times New Roman"/>
          <w:sz w:val="24"/>
          <w:szCs w:val="24"/>
        </w:rPr>
        <w:t>REF</w:t>
      </w:r>
      <w:r w:rsidR="0A805085" w:rsidRPr="0A805085">
        <w:rPr>
          <w:rFonts w:ascii="Times New Roman" w:hAnsi="Times New Roman" w:cs="Times New Roman"/>
          <w:sz w:val="24"/>
          <w:szCs w:val="24"/>
        </w:rPr>
        <w:t xml:space="preserve">]) and </w:t>
      </w:r>
      <w:r w:rsidR="00127473" w:rsidRPr="0A805085">
        <w:rPr>
          <w:rFonts w:ascii="Times New Roman" w:hAnsi="Times New Roman" w:cs="Times New Roman"/>
          <w:sz w:val="24"/>
          <w:szCs w:val="24"/>
        </w:rPr>
        <w:t>simulation-based</w:t>
      </w:r>
      <w:r w:rsidR="0A805085" w:rsidRPr="0A805085">
        <w:rPr>
          <w:rFonts w:ascii="Times New Roman" w:hAnsi="Times New Roman" w:cs="Times New Roman"/>
          <w:sz w:val="24"/>
          <w:szCs w:val="24"/>
        </w:rPr>
        <w:t xml:space="preserve"> quality improvement projects </w:t>
      </w:r>
      <w:r w:rsidR="0A805085" w:rsidRPr="00B92C3D">
        <w:rPr>
          <w:rFonts w:ascii="Times New Roman" w:hAnsi="Times New Roman" w:cs="Times New Roman"/>
          <w:sz w:val="24"/>
          <w:szCs w:val="24"/>
          <w:highlight w:val="yellow"/>
        </w:rPr>
        <w:t>( [</w:t>
      </w:r>
      <w:r w:rsidR="00D86383">
        <w:rPr>
          <w:rFonts w:ascii="Times New Roman" w:hAnsi="Times New Roman" w:cs="Times New Roman"/>
          <w:sz w:val="24"/>
          <w:szCs w:val="24"/>
          <w:highlight w:val="yellow"/>
        </w:rPr>
        <w:t>REF</w:t>
      </w:r>
      <w:r w:rsidR="0A805085" w:rsidRPr="00B92C3D">
        <w:rPr>
          <w:rFonts w:ascii="Times New Roman" w:hAnsi="Times New Roman" w:cs="Times New Roman"/>
          <w:sz w:val="24"/>
          <w:szCs w:val="24"/>
          <w:highlight w:val="yellow"/>
        </w:rPr>
        <w:t>]).</w:t>
      </w:r>
      <w:r w:rsidR="0031505C">
        <w:rPr>
          <w:rFonts w:ascii="Times New Roman" w:hAnsi="Times New Roman" w:cs="Times New Roman"/>
          <w:sz w:val="24"/>
          <w:szCs w:val="24"/>
        </w:rPr>
        <w:t xml:space="preserve"> While both resources are valuable, neither was specifically developed for laboratory process improvement studies desi</w:t>
      </w:r>
      <w:r w:rsidR="00F96E86">
        <w:rPr>
          <w:rFonts w:ascii="Times New Roman" w:hAnsi="Times New Roman" w:cs="Times New Roman"/>
          <w:sz w:val="24"/>
          <w:szCs w:val="24"/>
        </w:rPr>
        <w:t xml:space="preserve">gned to evaluate clinical, operational, economic, or public health </w:t>
      </w:r>
      <w:commentRangeStart w:id="9"/>
      <w:r w:rsidR="00F96E86">
        <w:rPr>
          <w:rFonts w:ascii="Times New Roman" w:hAnsi="Times New Roman" w:cs="Times New Roman"/>
          <w:sz w:val="24"/>
          <w:szCs w:val="24"/>
        </w:rPr>
        <w:t>outcomes</w:t>
      </w:r>
      <w:commentRangeEnd w:id="9"/>
      <w:r w:rsidR="00127473" w:rsidRPr="0A805085">
        <w:rPr>
          <w:rStyle w:val="CommentReference"/>
          <w:rFonts w:ascii="Times New Roman" w:hAnsi="Times New Roman" w:cs="Times New Roman"/>
          <w:sz w:val="24"/>
          <w:szCs w:val="24"/>
        </w:rPr>
        <w:commentReference w:id="9"/>
      </w:r>
      <w:r w:rsidR="0A805085" w:rsidRPr="0A805085">
        <w:rPr>
          <w:rFonts w:ascii="Times New Roman" w:hAnsi="Times New Roman" w:cs="Times New Roman"/>
          <w:sz w:val="24"/>
          <w:szCs w:val="24"/>
        </w:rPr>
        <w:t>.</w:t>
      </w:r>
    </w:p>
    <w:p w14:paraId="7BECF82A" w14:textId="77777777" w:rsidR="00127473" w:rsidRPr="00075B5A" w:rsidRDefault="7DDB2520" w:rsidP="0A805085">
      <w:pPr>
        <w:spacing w:after="0" w:line="480" w:lineRule="auto"/>
        <w:rPr>
          <w:rFonts w:ascii="Times New Roman" w:hAnsi="Times New Roman" w:cs="Times New Roman"/>
          <w:sz w:val="24"/>
          <w:szCs w:val="24"/>
        </w:rPr>
      </w:pPr>
      <w:commentRangeStart w:id="10"/>
      <w:commentRangeEnd w:id="10"/>
      <w:r w:rsidRPr="00075B5A">
        <w:rPr>
          <w:rStyle w:val="CommentReference"/>
          <w:rFonts w:ascii="Times New Roman" w:hAnsi="Times New Roman" w:cs="Times New Roman"/>
          <w:sz w:val="24"/>
          <w:szCs w:val="24"/>
        </w:rPr>
        <w:commentReference w:id="10"/>
      </w:r>
    </w:p>
    <w:p w14:paraId="714844E7" w14:textId="422CD39B" w:rsidR="006707AA" w:rsidRDefault="0A805085" w:rsidP="0A805085">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Drawing on </w:t>
      </w:r>
      <w:r w:rsidR="005B2679">
        <w:rPr>
          <w:rFonts w:ascii="Times New Roman" w:hAnsi="Times New Roman" w:cs="Times New Roman"/>
          <w:sz w:val="24"/>
          <w:szCs w:val="24"/>
        </w:rPr>
        <w:t xml:space="preserve">these existing </w:t>
      </w:r>
      <w:r w:rsidRPr="0A805085">
        <w:rPr>
          <w:rFonts w:ascii="Times New Roman" w:hAnsi="Times New Roman" w:cs="Times New Roman"/>
          <w:sz w:val="24"/>
          <w:szCs w:val="24"/>
        </w:rPr>
        <w:t>resources, this document provide</w:t>
      </w:r>
      <w:r w:rsidR="00F96E86">
        <w:rPr>
          <w:rFonts w:ascii="Times New Roman" w:hAnsi="Times New Roman" w:cs="Times New Roman"/>
          <w:sz w:val="24"/>
          <w:szCs w:val="24"/>
        </w:rPr>
        <w:t>s</w:t>
      </w:r>
      <w:r w:rsidRPr="0A805085">
        <w:rPr>
          <w:rFonts w:ascii="Times New Roman" w:hAnsi="Times New Roman" w:cs="Times New Roman"/>
          <w:sz w:val="24"/>
          <w:szCs w:val="24"/>
        </w:rPr>
        <w:t xml:space="preserve"> further guidance on study design and reporting for laboratory medicine outcome studies</w:t>
      </w:r>
      <w:r w:rsidR="00CD50D1">
        <w:rPr>
          <w:rFonts w:ascii="Times New Roman" w:hAnsi="Times New Roman" w:cs="Times New Roman"/>
          <w:sz w:val="24"/>
          <w:szCs w:val="24"/>
        </w:rPr>
        <w:t xml:space="preserve">. The goal is to improve study transparency, reproducibility, and usefulness for future systematic reviews and evidence-based laboratory medicine guideline development. </w:t>
      </w:r>
      <w:r w:rsidR="00A50DD9">
        <w:rPr>
          <w:rFonts w:ascii="Times New Roman" w:hAnsi="Times New Roman" w:cs="Times New Roman"/>
          <w:sz w:val="24"/>
          <w:szCs w:val="24"/>
        </w:rPr>
        <w:t>The following sections discuss key design considerations, including test selection, stakeholder engagement, study design</w:t>
      </w:r>
      <w:r w:rsidR="00A911BD">
        <w:rPr>
          <w:rFonts w:ascii="Times New Roman" w:hAnsi="Times New Roman" w:cs="Times New Roman"/>
          <w:sz w:val="24"/>
          <w:szCs w:val="24"/>
        </w:rPr>
        <w:t xml:space="preserve"> and limitations</w:t>
      </w:r>
      <w:r w:rsidR="00A50DD9">
        <w:rPr>
          <w:rFonts w:ascii="Times New Roman" w:hAnsi="Times New Roman" w:cs="Times New Roman"/>
          <w:sz w:val="24"/>
          <w:szCs w:val="24"/>
        </w:rPr>
        <w:t xml:space="preserve">, outcome measurement, </w:t>
      </w:r>
      <w:r w:rsidR="00EA3056">
        <w:rPr>
          <w:rFonts w:ascii="Times New Roman" w:hAnsi="Times New Roman" w:cs="Times New Roman"/>
          <w:sz w:val="24"/>
          <w:szCs w:val="24"/>
        </w:rPr>
        <w:t xml:space="preserve">implementation context, and </w:t>
      </w:r>
      <w:r w:rsidR="00A911BD">
        <w:rPr>
          <w:rFonts w:ascii="Times New Roman" w:hAnsi="Times New Roman" w:cs="Times New Roman"/>
          <w:sz w:val="24"/>
          <w:szCs w:val="24"/>
        </w:rPr>
        <w:t xml:space="preserve">the role of journals in </w:t>
      </w:r>
      <w:r w:rsidR="00441BC0">
        <w:rPr>
          <w:rFonts w:ascii="Times New Roman" w:hAnsi="Times New Roman" w:cs="Times New Roman"/>
          <w:sz w:val="24"/>
          <w:szCs w:val="24"/>
        </w:rPr>
        <w:t>facilitating improved study design</w:t>
      </w:r>
      <w:r w:rsidR="00EA3056">
        <w:rPr>
          <w:rFonts w:ascii="Times New Roman" w:hAnsi="Times New Roman" w:cs="Times New Roman"/>
          <w:sz w:val="24"/>
          <w:szCs w:val="24"/>
        </w:rPr>
        <w:t>.</w:t>
      </w:r>
    </w:p>
    <w:p w14:paraId="24C43065" w14:textId="77777777" w:rsidR="00CD50D1" w:rsidRPr="00075B5A" w:rsidRDefault="00CD50D1" w:rsidP="0A805085">
      <w:pPr>
        <w:spacing w:after="0" w:line="480" w:lineRule="auto"/>
        <w:rPr>
          <w:rFonts w:ascii="Times New Roman" w:eastAsia="Times New Roman" w:hAnsi="Times New Roman" w:cs="Times New Roman"/>
          <w:strike/>
          <w:sz w:val="24"/>
          <w:szCs w:val="24"/>
        </w:rPr>
      </w:pPr>
    </w:p>
    <w:p w14:paraId="42223AA8" w14:textId="5FD6DEE2" w:rsidR="0040792A" w:rsidRPr="00075B5A" w:rsidRDefault="002506B3" w:rsidP="006563F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Clinical </w:t>
      </w:r>
      <w:r w:rsidR="008364A5">
        <w:rPr>
          <w:rFonts w:ascii="Times New Roman" w:hAnsi="Times New Roman" w:cs="Times New Roman"/>
          <w:b/>
          <w:bCs/>
          <w:sz w:val="24"/>
          <w:szCs w:val="24"/>
        </w:rPr>
        <w:t>l</w:t>
      </w:r>
      <w:r>
        <w:rPr>
          <w:rFonts w:ascii="Times New Roman" w:hAnsi="Times New Roman" w:cs="Times New Roman"/>
          <w:b/>
          <w:bCs/>
          <w:sz w:val="24"/>
          <w:szCs w:val="24"/>
        </w:rPr>
        <w:t xml:space="preserve">aboratory </w:t>
      </w:r>
      <w:r w:rsidR="008364A5">
        <w:rPr>
          <w:rFonts w:ascii="Times New Roman" w:hAnsi="Times New Roman" w:cs="Times New Roman"/>
          <w:b/>
          <w:bCs/>
          <w:sz w:val="24"/>
          <w:szCs w:val="24"/>
        </w:rPr>
        <w:t>t</w:t>
      </w:r>
      <w:r>
        <w:rPr>
          <w:rFonts w:ascii="Times New Roman" w:hAnsi="Times New Roman" w:cs="Times New Roman"/>
          <w:b/>
          <w:bCs/>
          <w:sz w:val="24"/>
          <w:szCs w:val="24"/>
        </w:rPr>
        <w:t xml:space="preserve">est </w:t>
      </w:r>
      <w:r w:rsidR="008364A5">
        <w:rPr>
          <w:rFonts w:ascii="Times New Roman" w:hAnsi="Times New Roman" w:cs="Times New Roman"/>
          <w:b/>
          <w:bCs/>
          <w:sz w:val="24"/>
          <w:szCs w:val="24"/>
        </w:rPr>
        <w:t>c</w:t>
      </w:r>
      <w:r>
        <w:rPr>
          <w:rFonts w:ascii="Times New Roman" w:hAnsi="Times New Roman" w:cs="Times New Roman"/>
          <w:b/>
          <w:bCs/>
          <w:sz w:val="24"/>
          <w:szCs w:val="24"/>
        </w:rPr>
        <w:t>onsiderations</w:t>
      </w:r>
    </w:p>
    <w:p w14:paraId="01A84B23" w14:textId="6E9C8769" w:rsidR="00DC7713" w:rsidRDefault="008D3857" w:rsidP="00303AEF">
      <w:pPr>
        <w:spacing w:after="0" w:line="480" w:lineRule="auto"/>
        <w:rPr>
          <w:rFonts w:ascii="Times New Roman" w:eastAsia="Aptos" w:hAnsi="Times New Roman" w:cs="Times New Roman"/>
          <w:sz w:val="24"/>
          <w:szCs w:val="24"/>
        </w:rPr>
      </w:pPr>
      <w:r w:rsidRPr="008D3857">
        <w:rPr>
          <w:rFonts w:ascii="Times New Roman" w:eastAsia="Aptos" w:hAnsi="Times New Roman" w:cs="Times New Roman"/>
          <w:sz w:val="24"/>
          <w:szCs w:val="24"/>
        </w:rPr>
        <w:lastRenderedPageBreak/>
        <w:t xml:space="preserve">To ensure that data from a clinical outcome study can be successfully aggregated in future </w:t>
      </w:r>
      <w:r w:rsidR="005B0C76">
        <w:rPr>
          <w:rFonts w:ascii="Times New Roman" w:eastAsia="Aptos" w:hAnsi="Times New Roman" w:cs="Times New Roman"/>
          <w:sz w:val="24"/>
          <w:szCs w:val="24"/>
        </w:rPr>
        <w:t>SRs</w:t>
      </w:r>
      <w:r w:rsidRPr="008D3857">
        <w:rPr>
          <w:rFonts w:ascii="Times New Roman" w:eastAsia="Aptos" w:hAnsi="Times New Roman" w:cs="Times New Roman"/>
          <w:sz w:val="24"/>
          <w:szCs w:val="24"/>
        </w:rPr>
        <w:t xml:space="preserve">, investigators must proactively evaluate diagnostic test status and performance variables during the initial study design phase. </w:t>
      </w:r>
      <w:r w:rsidR="00B8079E">
        <w:rPr>
          <w:rFonts w:ascii="Times New Roman" w:eastAsia="Aptos" w:hAnsi="Times New Roman" w:cs="Times New Roman"/>
          <w:sz w:val="24"/>
          <w:szCs w:val="24"/>
        </w:rPr>
        <w:t>In the United States and Europe, c</w:t>
      </w:r>
      <w:r w:rsidR="00B8079E" w:rsidRPr="0A805085">
        <w:rPr>
          <w:rFonts w:ascii="Times New Roman" w:eastAsia="Aptos" w:hAnsi="Times New Roman" w:cs="Times New Roman"/>
          <w:sz w:val="24"/>
          <w:szCs w:val="24"/>
        </w:rPr>
        <w:t xml:space="preserve">linical laboratory tests </w:t>
      </w:r>
      <w:r w:rsidR="00B8079E">
        <w:rPr>
          <w:rFonts w:ascii="Times New Roman" w:eastAsia="Aptos" w:hAnsi="Times New Roman" w:cs="Times New Roman"/>
          <w:sz w:val="24"/>
          <w:szCs w:val="24"/>
        </w:rPr>
        <w:t>may be cleared/approved</w:t>
      </w:r>
      <w:r w:rsidR="00D423B5">
        <w:rPr>
          <w:rFonts w:ascii="Times New Roman" w:eastAsia="Aptos" w:hAnsi="Times New Roman" w:cs="Times New Roman"/>
          <w:sz w:val="24"/>
          <w:szCs w:val="24"/>
        </w:rPr>
        <w:t xml:space="preserve"> by the FDA or European Commission, respectively,</w:t>
      </w:r>
      <w:r w:rsidR="00B8079E">
        <w:rPr>
          <w:rFonts w:ascii="Times New Roman" w:eastAsia="Aptos" w:hAnsi="Times New Roman" w:cs="Times New Roman"/>
          <w:sz w:val="24"/>
          <w:szCs w:val="24"/>
        </w:rPr>
        <w:t xml:space="preserve"> or </w:t>
      </w:r>
      <w:r w:rsidR="00B8079E" w:rsidRPr="0A805085">
        <w:rPr>
          <w:rFonts w:ascii="Times New Roman" w:eastAsia="Aptos" w:hAnsi="Times New Roman" w:cs="Times New Roman"/>
          <w:sz w:val="24"/>
          <w:szCs w:val="24"/>
        </w:rPr>
        <w:t>laboratory-developed</w:t>
      </w:r>
      <w:r w:rsidR="00D423B5">
        <w:rPr>
          <w:rFonts w:ascii="Times New Roman" w:eastAsia="Aptos" w:hAnsi="Times New Roman" w:cs="Times New Roman"/>
          <w:sz w:val="24"/>
          <w:szCs w:val="24"/>
        </w:rPr>
        <w:t xml:space="preserve">, </w:t>
      </w:r>
      <w:r w:rsidR="00B8079E">
        <w:rPr>
          <w:rFonts w:ascii="Times New Roman" w:eastAsia="Aptos" w:hAnsi="Times New Roman" w:cs="Times New Roman"/>
          <w:sz w:val="24"/>
          <w:szCs w:val="24"/>
        </w:rPr>
        <w:t>which includes</w:t>
      </w:r>
      <w:r w:rsidR="00B8079E" w:rsidRPr="0A805085">
        <w:rPr>
          <w:rFonts w:ascii="Times New Roman" w:eastAsia="Aptos" w:hAnsi="Times New Roman" w:cs="Times New Roman"/>
          <w:sz w:val="24"/>
          <w:szCs w:val="24"/>
        </w:rPr>
        <w:t xml:space="preserve"> modified- cleared/approved </w:t>
      </w:r>
      <w:sdt>
        <w:sdtPr>
          <w:rPr>
            <w:rFonts w:ascii="Times New Roman" w:eastAsia="Aptos" w:hAnsi="Times New Roman" w:cs="Times New Roman"/>
            <w:sz w:val="24"/>
            <w:szCs w:val="24"/>
          </w:rPr>
          <w:alias w:val="SmartCite Citation"/>
          <w:tag w:val="20a90c04-bbe1-4fd8-8697-1fe2ff9d2ce2:02b7b9cf-95b7-4875-bde9-46490670b085,20a90c04-bbe1-4fd8-8697-1fe2ff9d2ce2:f88b4a15-d0a4-4bdf-8179-bf59a3fe7769,20a90c04-bbe1-4fd8-8697-1fe2ff9d2ce2:3263d705-b2e0-47d6-87ca-531920be7583,20a90c04-bbe1-4fd8-8697-1fe2ff9d2ce2:ae126d0f-d90f-4a4d-9593-3980bd374b87+"/>
          <w:id w:val="125592449"/>
          <w:placeholder>
            <w:docPart w:val="95650CBC8121416DA673E8938013A486"/>
          </w:placeholder>
        </w:sdtPr>
        <w:sdtContent>
          <w:r w:rsidR="00B8079E">
            <w:rPr>
              <w:rFonts w:ascii="Times New Roman" w:eastAsia="Aptos" w:hAnsi="Times New Roman" w:cs="Times New Roman"/>
              <w:sz w:val="24"/>
              <w:szCs w:val="24"/>
            </w:rPr>
            <w:t xml:space="preserve">assays </w:t>
          </w:r>
          <w:r w:rsidR="00B8079E" w:rsidRPr="0A805085">
            <w:rPr>
              <w:rFonts w:ascii="Times New Roman" w:eastAsia="Times New Roman" w:hAnsi="Times New Roman" w:cs="Times New Roman"/>
              <w:sz w:val="24"/>
              <w:szCs w:val="24"/>
            </w:rPr>
            <w:t>(27–30)</w:t>
          </w:r>
        </w:sdtContent>
      </w:sdt>
      <w:r w:rsidR="00B8079E">
        <w:rPr>
          <w:rFonts w:ascii="Times New Roman" w:eastAsia="Aptos" w:hAnsi="Times New Roman" w:cs="Times New Roman"/>
          <w:sz w:val="24"/>
          <w:szCs w:val="24"/>
        </w:rPr>
        <w:t xml:space="preserve">. </w:t>
      </w:r>
      <w:r w:rsidR="0E9995AC" w:rsidRPr="0E9995AC">
        <w:rPr>
          <w:rFonts w:ascii="Times New Roman" w:eastAsia="Aptos" w:hAnsi="Times New Roman" w:cs="Times New Roman"/>
          <w:sz w:val="24"/>
          <w:szCs w:val="24"/>
        </w:rPr>
        <w:t xml:space="preserve">In the European Union Region, assays that are approved by the European Commission bear the CE marking, indicating that the assay meets safety, health, and environmental protection requirements of the EU </w:t>
      </w:r>
      <w:sdt>
        <w:sdtPr>
          <w:rPr>
            <w:rFonts w:ascii="Times New Roman" w:eastAsia="Aptos" w:hAnsi="Times New Roman" w:cs="Times New Roman"/>
            <w:sz w:val="24"/>
            <w:szCs w:val="24"/>
          </w:rPr>
          <w:alias w:val="SmartCite Citation"/>
          <w:tag w:val="20a90c04-bbe1-4fd8-8697-1fe2ff9d2ce2:ae126d0f-d90f-4a4d-9593-3980bd374b87+"/>
          <w:id w:val="231288190"/>
          <w:placeholder>
            <w:docPart w:val="DefaultPlaceholder_-1854013440"/>
          </w:placeholder>
        </w:sdtPr>
        <w:sdtContent>
          <w:r w:rsidR="0E9995AC" w:rsidRPr="0E9995AC">
            <w:rPr>
              <w:rFonts w:ascii="Times New Roman" w:eastAsia="Times New Roman" w:hAnsi="Times New Roman" w:cs="Times New Roman"/>
              <w:sz w:val="24"/>
              <w:szCs w:val="24"/>
            </w:rPr>
            <w:t>(27)</w:t>
          </w:r>
        </w:sdtContent>
      </w:sdt>
      <w:r w:rsidR="00B8079E" w:rsidRPr="0A805085">
        <w:rPr>
          <w:rFonts w:ascii="Times New Roman" w:eastAsia="Aptos" w:hAnsi="Times New Roman" w:cs="Times New Roman"/>
          <w:sz w:val="24"/>
          <w:szCs w:val="24"/>
        </w:rPr>
        <w:t>.</w:t>
      </w:r>
      <w:r w:rsidR="00B8079E">
        <w:rPr>
          <w:rFonts w:ascii="Times New Roman" w:eastAsia="Aptos" w:hAnsi="Times New Roman" w:cs="Times New Roman"/>
          <w:sz w:val="24"/>
          <w:szCs w:val="24"/>
        </w:rPr>
        <w:t xml:space="preserve"> </w:t>
      </w:r>
      <w:r w:rsidR="00B8079E" w:rsidRPr="0E9995AC">
        <w:rPr>
          <w:rFonts w:ascii="Times New Roman" w:eastAsia="Aptos" w:hAnsi="Times New Roman" w:cs="Times New Roman"/>
          <w:sz w:val="24"/>
          <w:szCs w:val="24"/>
        </w:rPr>
        <w:t>The FDA requires the manufacturer to include an indication for use (intended use) statement within the instructions for use (IFU) of any test systems that is FDA-cleared/approved</w:t>
      </w:r>
      <w:r w:rsidR="00B8079E">
        <w:rPr>
          <w:rFonts w:ascii="Times New Roman" w:eastAsia="Aptos" w:hAnsi="Times New Roman" w:cs="Times New Roman"/>
          <w:sz w:val="24"/>
          <w:szCs w:val="24"/>
        </w:rPr>
        <w:t xml:space="preserve"> and labeled as an in vitro diagnostic (IVD) assay</w:t>
      </w:r>
      <w:r w:rsidR="00B8079E" w:rsidRPr="0E9995AC">
        <w:rPr>
          <w:rFonts w:ascii="Times New Roman" w:eastAsia="Aptos" w:hAnsi="Times New Roman" w:cs="Times New Roman"/>
          <w:sz w:val="24"/>
          <w:szCs w:val="24"/>
        </w:rPr>
        <w:t xml:space="preserve"> </w:t>
      </w:r>
      <w:sdt>
        <w:sdtPr>
          <w:rPr>
            <w:rFonts w:ascii="Times New Roman" w:eastAsia="Aptos" w:hAnsi="Times New Roman" w:cs="Times New Roman"/>
            <w:sz w:val="24"/>
            <w:szCs w:val="24"/>
          </w:rPr>
          <w:alias w:val="SmartCite Citation"/>
          <w:tag w:val="20a90c04-bbe1-4fd8-8697-1fe2ff9d2ce2:622856cc-ce77-41db-a8f4-3451adbdf7a4+"/>
          <w:id w:val="-1835369851"/>
          <w:placeholder>
            <w:docPart w:val="0BB443ED8D0848C18F65EFBE9FBB7FB2"/>
          </w:placeholder>
        </w:sdtPr>
        <w:sdtContent>
          <w:r w:rsidR="00B8079E" w:rsidRPr="0E9995AC">
            <w:rPr>
              <w:rFonts w:ascii="Times New Roman" w:eastAsia="Times New Roman" w:hAnsi="Times New Roman" w:cs="Times New Roman"/>
              <w:sz w:val="24"/>
              <w:szCs w:val="24"/>
            </w:rPr>
            <w:t>(26)</w:t>
          </w:r>
        </w:sdtContent>
      </w:sdt>
      <w:r w:rsidR="00B8079E">
        <w:rPr>
          <w:rFonts w:ascii="Times New Roman" w:eastAsia="Aptos" w:hAnsi="Times New Roman" w:cs="Times New Roman"/>
          <w:sz w:val="24"/>
          <w:szCs w:val="24"/>
        </w:rPr>
        <w:t xml:space="preserve">. </w:t>
      </w:r>
      <w:r w:rsidR="00DA40EF">
        <w:rPr>
          <w:rFonts w:ascii="Times New Roman" w:eastAsia="Aptos" w:hAnsi="Times New Roman" w:cs="Times New Roman"/>
          <w:sz w:val="24"/>
          <w:szCs w:val="24"/>
        </w:rPr>
        <w:t xml:space="preserve">Other countries may utilize </w:t>
      </w:r>
      <w:r w:rsidR="005B0C76">
        <w:rPr>
          <w:rFonts w:ascii="Times New Roman" w:eastAsia="Aptos" w:hAnsi="Times New Roman" w:cs="Times New Roman"/>
          <w:sz w:val="24"/>
          <w:szCs w:val="24"/>
        </w:rPr>
        <w:t>a different assay approval system.</w:t>
      </w:r>
      <w:r w:rsidR="0E9995AC" w:rsidRPr="0E9995AC">
        <w:rPr>
          <w:rFonts w:ascii="Times New Roman" w:eastAsia="Aptos" w:hAnsi="Times New Roman" w:cs="Times New Roman"/>
          <w:sz w:val="24"/>
          <w:szCs w:val="24"/>
        </w:rPr>
        <w:t xml:space="preserve"> </w:t>
      </w:r>
    </w:p>
    <w:p w14:paraId="0345BBC5" w14:textId="77777777" w:rsidR="00303AEF" w:rsidRDefault="00303AEF" w:rsidP="00303AEF">
      <w:pPr>
        <w:spacing w:after="0" w:line="480" w:lineRule="auto"/>
        <w:rPr>
          <w:rFonts w:ascii="Times New Roman" w:eastAsia="Aptos" w:hAnsi="Times New Roman" w:cs="Times New Roman"/>
          <w:sz w:val="24"/>
          <w:szCs w:val="24"/>
        </w:rPr>
      </w:pPr>
    </w:p>
    <w:p w14:paraId="28FF0A00" w14:textId="6A8B7649" w:rsidR="00444215" w:rsidRPr="00075B5A" w:rsidRDefault="00444215" w:rsidP="00303AEF">
      <w:pPr>
        <w:spacing w:after="0" w:line="480" w:lineRule="auto"/>
        <w:rPr>
          <w:rFonts w:ascii="Times New Roman" w:eastAsia="Times New Roman" w:hAnsi="Times New Roman" w:cs="Times New Roman"/>
          <w:strike/>
          <w:sz w:val="24"/>
          <w:szCs w:val="24"/>
        </w:rPr>
      </w:pPr>
      <w:r w:rsidRPr="0A805085">
        <w:rPr>
          <w:rFonts w:ascii="Times New Roman" w:eastAsia="Aptos" w:hAnsi="Times New Roman" w:cs="Times New Roman"/>
          <w:sz w:val="24"/>
          <w:szCs w:val="24"/>
        </w:rPr>
        <w:t>To encourage appropriate conclusions and extrapolations, the test methodology used, the test status (FDA-cleared/approved, CE marked, modified FDA-cleared/approved, LDT), the type of testing personnel (laboratory versus other healthcare personnel), and the testing environment should be clearly stated in the methods section of outcome studies. Investigators in countries other than the United States should refer to their local regulations regarding test status and include the appropriate description in the manuscript.</w:t>
      </w:r>
    </w:p>
    <w:p w14:paraId="5F6D92B2" w14:textId="77777777" w:rsidR="00303AEF" w:rsidRDefault="00303AEF" w:rsidP="00303AEF">
      <w:pPr>
        <w:spacing w:after="0" w:line="480" w:lineRule="auto"/>
        <w:rPr>
          <w:rFonts w:ascii="Times New Roman" w:eastAsia="Aptos" w:hAnsi="Times New Roman" w:cs="Times New Roman"/>
          <w:sz w:val="24"/>
          <w:szCs w:val="24"/>
        </w:rPr>
      </w:pPr>
    </w:p>
    <w:p w14:paraId="37F58DFD" w14:textId="77777777" w:rsidR="008F38AE" w:rsidRDefault="0A805085" w:rsidP="00303AEF">
      <w:pPr>
        <w:spacing w:after="0" w:line="480" w:lineRule="auto"/>
        <w:rPr>
          <w:rFonts w:ascii="Times New Roman" w:eastAsia="Aptos" w:hAnsi="Times New Roman" w:cs="Times New Roman"/>
          <w:sz w:val="24"/>
          <w:szCs w:val="24"/>
        </w:rPr>
      </w:pPr>
      <w:r w:rsidRPr="0A805085">
        <w:rPr>
          <w:rFonts w:ascii="Times New Roman" w:eastAsia="Aptos" w:hAnsi="Times New Roman" w:cs="Times New Roman"/>
          <w:sz w:val="24"/>
          <w:szCs w:val="24"/>
        </w:rPr>
        <w:t xml:space="preserve">The quality of the outcome study may be impacted by the selection of the test system category due to potential variation in comparator test system performance. For an outcome study, the advantage of an unmodified FDA-cleared/approved </w:t>
      </w:r>
      <w:r w:rsidR="00C10134">
        <w:rPr>
          <w:rFonts w:ascii="Times New Roman" w:eastAsia="Aptos" w:hAnsi="Times New Roman" w:cs="Times New Roman"/>
          <w:sz w:val="24"/>
          <w:szCs w:val="24"/>
        </w:rPr>
        <w:t xml:space="preserve">or CE marked </w:t>
      </w:r>
      <w:r w:rsidRPr="0A805085">
        <w:rPr>
          <w:rFonts w:ascii="Times New Roman" w:eastAsia="Aptos" w:hAnsi="Times New Roman" w:cs="Times New Roman"/>
          <w:sz w:val="24"/>
          <w:szCs w:val="24"/>
        </w:rPr>
        <w:t xml:space="preserve">test is that the test system has already undergone rigorous scrutiny through a diagnostic clinical performance study reviewed by the </w:t>
      </w:r>
      <w:r w:rsidR="00C10134">
        <w:rPr>
          <w:rFonts w:ascii="Times New Roman" w:eastAsia="Aptos" w:hAnsi="Times New Roman" w:cs="Times New Roman"/>
          <w:sz w:val="24"/>
          <w:szCs w:val="24"/>
        </w:rPr>
        <w:t>appropriate authorities</w:t>
      </w:r>
      <w:r w:rsidRPr="0A805085">
        <w:rPr>
          <w:rFonts w:ascii="Times New Roman" w:eastAsia="Aptos" w:hAnsi="Times New Roman" w:cs="Times New Roman"/>
          <w:sz w:val="24"/>
          <w:szCs w:val="24"/>
        </w:rPr>
        <w:t xml:space="preserve"> </w:t>
      </w:r>
      <w:sdt>
        <w:sdtPr>
          <w:rPr>
            <w:rFonts w:ascii="Times New Roman" w:eastAsia="Aptos" w:hAnsi="Times New Roman" w:cs="Times New Roman"/>
            <w:sz w:val="24"/>
            <w:szCs w:val="24"/>
          </w:rPr>
          <w:alias w:val="SmartCite Citation"/>
          <w:tag w:val="20a90c04-bbe1-4fd8-8697-1fe2ff9d2ce2:a12e4863-141e-41c3-bb15-7189306c6853+"/>
          <w:id w:val="1165445874"/>
          <w:placeholder>
            <w:docPart w:val="DefaultPlaceholder_-1854013440"/>
          </w:placeholder>
        </w:sdtPr>
        <w:sdtContent>
          <w:r w:rsidRPr="0A805085">
            <w:rPr>
              <w:rFonts w:ascii="Times New Roman" w:eastAsia="Times New Roman" w:hAnsi="Times New Roman" w:cs="Times New Roman"/>
              <w:sz w:val="24"/>
              <w:szCs w:val="24"/>
            </w:rPr>
            <w:t>(20)</w:t>
          </w:r>
        </w:sdtContent>
      </w:sdt>
      <w:r w:rsidRPr="0A805085">
        <w:rPr>
          <w:rFonts w:ascii="Times New Roman" w:eastAsia="Aptos" w:hAnsi="Times New Roman" w:cs="Times New Roman"/>
          <w:sz w:val="24"/>
          <w:szCs w:val="24"/>
        </w:rPr>
        <w:t xml:space="preserve"> and is expected to perform in a consistent manner across </w:t>
      </w:r>
      <w:r w:rsidRPr="0A805085">
        <w:rPr>
          <w:rFonts w:ascii="Times New Roman" w:eastAsia="Aptos" w:hAnsi="Times New Roman" w:cs="Times New Roman"/>
          <w:sz w:val="24"/>
          <w:szCs w:val="24"/>
        </w:rPr>
        <w:lastRenderedPageBreak/>
        <w:t>laboratories when used as directed/specified by the manufacturer.</w:t>
      </w:r>
      <w:r w:rsidR="00441BC0">
        <w:rPr>
          <w:rFonts w:ascii="Times New Roman" w:eastAsia="Aptos" w:hAnsi="Times New Roman" w:cs="Times New Roman"/>
          <w:sz w:val="24"/>
          <w:szCs w:val="24"/>
        </w:rPr>
        <w:t xml:space="preserve"> </w:t>
      </w:r>
      <w:r w:rsidRPr="0A805085">
        <w:rPr>
          <w:rFonts w:ascii="Times New Roman" w:eastAsia="Aptos" w:hAnsi="Times New Roman" w:cs="Times New Roman"/>
          <w:sz w:val="24"/>
          <w:szCs w:val="24"/>
        </w:rPr>
        <w:t>A</w:t>
      </w:r>
      <w:r w:rsidR="00C10134">
        <w:rPr>
          <w:rFonts w:ascii="Times New Roman" w:eastAsia="Aptos" w:hAnsi="Times New Roman" w:cs="Times New Roman"/>
          <w:sz w:val="24"/>
          <w:szCs w:val="24"/>
        </w:rPr>
        <w:t xml:space="preserve"> </w:t>
      </w:r>
      <w:r w:rsidRPr="0A805085">
        <w:rPr>
          <w:rFonts w:ascii="Times New Roman" w:eastAsia="Aptos" w:hAnsi="Times New Roman" w:cs="Times New Roman"/>
          <w:sz w:val="24"/>
          <w:szCs w:val="24"/>
        </w:rPr>
        <w:t xml:space="preserve">modified test system may have some variability between laboratories but generally the analytical principles of the assay remain unchanged. Modifications to FDA-cleared/approved tests systems may include a change in test indication, but more often are modifications in sample (specimen) type, stability, and/or optimization of procedural steps such as a change in quantity of a reagent or automation of a manual process. Laboratory-developed tests (LDTs) are the most variable, as they are solely utilized by the laboratory who designed/constructed the assay </w:t>
      </w:r>
      <w:sdt>
        <w:sdtPr>
          <w:rPr>
            <w:rFonts w:ascii="Times New Roman" w:eastAsia="Aptos" w:hAnsi="Times New Roman" w:cs="Times New Roman"/>
            <w:sz w:val="24"/>
            <w:szCs w:val="24"/>
          </w:rPr>
          <w:alias w:val="SmartCite Citation"/>
          <w:tag w:val="20a90c04-bbe1-4fd8-8697-1fe2ff9d2ce2:3263d705-b2e0-47d6-87ca-531920be7583,20a90c04-bbe1-4fd8-8697-1fe2ff9d2ce2:f88b4a15-d0a4-4bdf-8179-bf59a3fe7769+"/>
          <w:id w:val="-582300999"/>
          <w:placeholder>
            <w:docPart w:val="DefaultPlaceholder_-1854013440"/>
          </w:placeholder>
        </w:sdtPr>
        <w:sdtContent>
          <w:r w:rsidRPr="0A805085">
            <w:rPr>
              <w:rFonts w:ascii="Times New Roman" w:eastAsia="Times New Roman" w:hAnsi="Times New Roman" w:cs="Times New Roman"/>
              <w:sz w:val="24"/>
              <w:szCs w:val="24"/>
            </w:rPr>
            <w:t>(29, 30)</w:t>
          </w:r>
        </w:sdtContent>
      </w:sdt>
      <w:r w:rsidRPr="0A805085">
        <w:rPr>
          <w:rFonts w:ascii="Times New Roman" w:eastAsia="Aptos" w:hAnsi="Times New Roman" w:cs="Times New Roman"/>
          <w:sz w:val="24"/>
          <w:szCs w:val="24"/>
        </w:rPr>
        <w:t xml:space="preserve">. LDTs are highly valuable when new technologies are emerging or for laboratory testing of rare diseases or unmet needs (such as geographically restricted/low prevalence diseases) where no commercially available assay exists. The disadvantage for outcome studies is that the conclusions from one LDT assay may not be extrapolatable (as a comparator) to another LDT assay for the same targets (analyte) developed by another laboratory. </w:t>
      </w:r>
    </w:p>
    <w:p w14:paraId="6A44DBC4" w14:textId="77777777" w:rsidR="008F38AE" w:rsidRDefault="008F38AE" w:rsidP="00303AEF">
      <w:pPr>
        <w:spacing w:after="0" w:line="480" w:lineRule="auto"/>
        <w:rPr>
          <w:rFonts w:ascii="Times New Roman" w:eastAsia="Aptos" w:hAnsi="Times New Roman" w:cs="Times New Roman"/>
          <w:sz w:val="24"/>
          <w:szCs w:val="24"/>
        </w:rPr>
      </w:pPr>
    </w:p>
    <w:p w14:paraId="1C1035CE" w14:textId="1FBB030D" w:rsidR="00444215" w:rsidRDefault="0A805085" w:rsidP="00303AEF">
      <w:pPr>
        <w:spacing w:after="0" w:line="480" w:lineRule="auto"/>
        <w:rPr>
          <w:rFonts w:ascii="Times New Roman" w:eastAsia="Aptos" w:hAnsi="Times New Roman" w:cs="Times New Roman"/>
          <w:sz w:val="24"/>
          <w:szCs w:val="24"/>
        </w:rPr>
      </w:pPr>
      <w:r w:rsidRPr="0A805085">
        <w:rPr>
          <w:rFonts w:ascii="Times New Roman" w:eastAsia="Aptos" w:hAnsi="Times New Roman" w:cs="Times New Roman"/>
          <w:sz w:val="24"/>
          <w:szCs w:val="24"/>
        </w:rPr>
        <w:t xml:space="preserve">In general, laboratories are expected to validate that LDTs and modified-FDA-cleared/approved tests systems provide reliable results for the intended application </w:t>
      </w:r>
      <w:sdt>
        <w:sdtPr>
          <w:rPr>
            <w:rFonts w:ascii="Times New Roman" w:eastAsia="Aptos" w:hAnsi="Times New Roman" w:cs="Times New Roman"/>
            <w:sz w:val="24"/>
            <w:szCs w:val="24"/>
          </w:rPr>
          <w:alias w:val="SmartCite Citation"/>
          <w:tag w:val="20a90c04-bbe1-4fd8-8697-1fe2ff9d2ce2:f88b4a15-d0a4-4bdf-8179-bf59a3fe7769,20a90c04-bbe1-4fd8-8697-1fe2ff9d2ce2:3263d705-b2e0-47d6-87ca-531920be7583+"/>
          <w:id w:val="-10227881"/>
          <w:placeholder>
            <w:docPart w:val="DefaultPlaceholder_-1854013440"/>
          </w:placeholder>
        </w:sdtPr>
        <w:sdtContent>
          <w:r w:rsidRPr="0A805085">
            <w:rPr>
              <w:rFonts w:ascii="Times New Roman" w:eastAsia="Times New Roman" w:hAnsi="Times New Roman" w:cs="Times New Roman"/>
              <w:sz w:val="24"/>
              <w:szCs w:val="24"/>
            </w:rPr>
            <w:t>(29, 30)</w:t>
          </w:r>
        </w:sdtContent>
      </w:sdt>
      <w:r w:rsidRPr="0A805085">
        <w:rPr>
          <w:rFonts w:ascii="Times New Roman" w:eastAsia="Aptos" w:hAnsi="Times New Roman" w:cs="Times New Roman"/>
          <w:sz w:val="24"/>
          <w:szCs w:val="24"/>
        </w:rPr>
        <w:t xml:space="preserve">, therefore such systems should be reliable; however, their use is limited for multi-site/center outcome studies.  For possible inclusion in SR, the LDT utilized should be clearly defined to indicate if the test was internally developed, a commercial RUO labeled kit, or an FDA approved commercial kit that has been modified by the testing laboratory, moreover, the assay’s testing parameters must be clearly indicated. </w:t>
      </w:r>
      <w:r w:rsidR="00444215">
        <w:rPr>
          <w:rFonts w:ascii="Times New Roman" w:eastAsia="Aptos" w:hAnsi="Times New Roman" w:cs="Times New Roman"/>
          <w:sz w:val="24"/>
          <w:szCs w:val="24"/>
        </w:rPr>
        <w:t>Any modification to the intended use should also be cleared communicated.</w:t>
      </w:r>
    </w:p>
    <w:p w14:paraId="38149A33" w14:textId="77777777" w:rsidR="00303AEF" w:rsidRDefault="00303AEF" w:rsidP="00303AEF">
      <w:pPr>
        <w:spacing w:after="0" w:line="480" w:lineRule="auto"/>
        <w:rPr>
          <w:rFonts w:ascii="Times New Roman" w:eastAsia="Aptos" w:hAnsi="Times New Roman" w:cs="Times New Roman"/>
          <w:sz w:val="24"/>
          <w:szCs w:val="24"/>
        </w:rPr>
      </w:pPr>
    </w:p>
    <w:p w14:paraId="1D8B1CAE" w14:textId="05742F15" w:rsidR="00DC7713" w:rsidRPr="00075B5A" w:rsidRDefault="00DB5881" w:rsidP="00303AEF">
      <w:pPr>
        <w:spacing w:after="0" w:line="480" w:lineRule="auto"/>
        <w:rPr>
          <w:rFonts w:ascii="Times New Roman" w:eastAsia="Aptos" w:hAnsi="Times New Roman" w:cs="Times New Roman"/>
          <w:sz w:val="24"/>
          <w:szCs w:val="24"/>
        </w:rPr>
      </w:pPr>
      <w:r>
        <w:rPr>
          <w:rFonts w:ascii="Times New Roman" w:eastAsia="Aptos" w:hAnsi="Times New Roman" w:cs="Times New Roman"/>
          <w:sz w:val="24"/>
          <w:szCs w:val="24"/>
        </w:rPr>
        <w:t>A</w:t>
      </w:r>
      <w:r w:rsidR="1338591A" w:rsidRPr="00075B5A">
        <w:rPr>
          <w:rFonts w:ascii="Times New Roman" w:eastAsia="Aptos" w:hAnsi="Times New Roman" w:cs="Times New Roman"/>
          <w:sz w:val="24"/>
          <w:szCs w:val="24"/>
        </w:rPr>
        <w:t xml:space="preserve">ssay selection may </w:t>
      </w:r>
      <w:r>
        <w:rPr>
          <w:rFonts w:ascii="Times New Roman" w:eastAsia="Aptos" w:hAnsi="Times New Roman" w:cs="Times New Roman"/>
          <w:sz w:val="24"/>
          <w:szCs w:val="24"/>
        </w:rPr>
        <w:t xml:space="preserve">also </w:t>
      </w:r>
      <w:r w:rsidR="1338591A" w:rsidRPr="00075B5A">
        <w:rPr>
          <w:rFonts w:ascii="Times New Roman" w:eastAsia="Aptos" w:hAnsi="Times New Roman" w:cs="Times New Roman"/>
          <w:sz w:val="24"/>
          <w:szCs w:val="24"/>
        </w:rPr>
        <w:t xml:space="preserve">depend on the patient setting (location) and testing personnel. For example, a moderate-complexity test may be performed by non-laboratory personnel in an </w:t>
      </w:r>
      <w:r w:rsidR="1338591A" w:rsidRPr="00075B5A">
        <w:rPr>
          <w:rFonts w:ascii="Times New Roman" w:eastAsia="Aptos" w:hAnsi="Times New Roman" w:cs="Times New Roman"/>
          <w:sz w:val="24"/>
          <w:szCs w:val="24"/>
        </w:rPr>
        <w:lastRenderedPageBreak/>
        <w:t>Emergency Department (ED) that possess</w:t>
      </w:r>
      <w:r w:rsidR="00206D10" w:rsidRPr="00075B5A">
        <w:rPr>
          <w:rFonts w:ascii="Times New Roman" w:eastAsia="Aptos" w:hAnsi="Times New Roman" w:cs="Times New Roman"/>
          <w:sz w:val="24"/>
          <w:szCs w:val="24"/>
        </w:rPr>
        <w:t>es</w:t>
      </w:r>
      <w:r w:rsidR="1338591A" w:rsidRPr="00075B5A">
        <w:rPr>
          <w:rFonts w:ascii="Times New Roman" w:eastAsia="Aptos" w:hAnsi="Times New Roman" w:cs="Times New Roman"/>
          <w:sz w:val="24"/>
          <w:szCs w:val="24"/>
        </w:rPr>
        <w:t xml:space="preserve"> a CLIA certificate in order to provide rapid turnaround time for managing the patient prior to discharge. In contrast, a high complexity molecular assay for the same analyte may be performed in the laboratory at the same hospital for a more sensitive, albeit slower result. For an outcome study, the tests utilized and the conclusions reached may vary depending on the testing personnel and testing environment.</w:t>
      </w:r>
    </w:p>
    <w:p w14:paraId="75EC60E3" w14:textId="77777777" w:rsidR="00303AEF" w:rsidRDefault="00303AEF" w:rsidP="00303AEF">
      <w:pPr>
        <w:spacing w:after="0" w:line="480" w:lineRule="auto"/>
        <w:rPr>
          <w:rFonts w:ascii="Times New Roman" w:eastAsia="Aptos" w:hAnsi="Times New Roman" w:cs="Times New Roman"/>
          <w:sz w:val="24"/>
          <w:szCs w:val="24"/>
        </w:rPr>
      </w:pPr>
    </w:p>
    <w:p w14:paraId="4D56D80F" w14:textId="4C18FE9B" w:rsidR="00DC7713" w:rsidRDefault="00117D92" w:rsidP="00303AEF">
      <w:pPr>
        <w:spacing w:after="0" w:line="480" w:lineRule="auto"/>
        <w:rPr>
          <w:rFonts w:ascii="Times New Roman" w:eastAsia="Aptos" w:hAnsi="Times New Roman" w:cs="Times New Roman"/>
          <w:sz w:val="24"/>
          <w:szCs w:val="24"/>
        </w:rPr>
      </w:pPr>
      <w:r w:rsidRPr="008D3857">
        <w:rPr>
          <w:rFonts w:ascii="Times New Roman" w:eastAsia="Aptos" w:hAnsi="Times New Roman" w:cs="Times New Roman"/>
          <w:sz w:val="24"/>
          <w:szCs w:val="24"/>
        </w:rPr>
        <w:t>Selecting a highly standardized test platform or meticulously documenting localized assay parameters prior to study initiation prevents the introduction of unresolvable methodological heterogeneity that could later disqualify the study’s data from pooled meta-analyses.</w:t>
      </w:r>
    </w:p>
    <w:p w14:paraId="3E304192" w14:textId="77777777" w:rsidR="0015456D" w:rsidRPr="00075B5A" w:rsidRDefault="0015456D" w:rsidP="00303AEF">
      <w:pPr>
        <w:spacing w:after="0" w:line="480" w:lineRule="auto"/>
        <w:rPr>
          <w:rFonts w:ascii="Times New Roman" w:hAnsi="Times New Roman" w:cs="Times New Roman"/>
          <w:b/>
          <w:bCs/>
          <w:sz w:val="24"/>
          <w:szCs w:val="24"/>
        </w:rPr>
      </w:pPr>
    </w:p>
    <w:p w14:paraId="2618AAA1" w14:textId="2A1BD57E" w:rsidR="0040792A" w:rsidRPr="00075B5A" w:rsidRDefault="0A805085" w:rsidP="006563F6">
      <w:pPr>
        <w:spacing w:after="0" w:line="480" w:lineRule="auto"/>
        <w:rPr>
          <w:rFonts w:ascii="Times New Roman" w:hAnsi="Times New Roman" w:cs="Times New Roman"/>
          <w:b/>
          <w:bCs/>
          <w:sz w:val="24"/>
          <w:szCs w:val="24"/>
        </w:rPr>
      </w:pPr>
      <w:r w:rsidRPr="0A805085">
        <w:rPr>
          <w:rFonts w:ascii="Times New Roman" w:hAnsi="Times New Roman" w:cs="Times New Roman"/>
          <w:b/>
          <w:bCs/>
          <w:sz w:val="24"/>
          <w:szCs w:val="24"/>
        </w:rPr>
        <w:t xml:space="preserve">Identifying key team members </w:t>
      </w:r>
      <w:r w:rsidR="0015456D">
        <w:rPr>
          <w:rFonts w:ascii="Times New Roman" w:hAnsi="Times New Roman" w:cs="Times New Roman"/>
          <w:b/>
          <w:bCs/>
          <w:sz w:val="24"/>
          <w:szCs w:val="24"/>
        </w:rPr>
        <w:t>and</w:t>
      </w:r>
      <w:r w:rsidRPr="0A805085">
        <w:rPr>
          <w:rFonts w:ascii="Times New Roman" w:hAnsi="Times New Roman" w:cs="Times New Roman"/>
          <w:b/>
          <w:bCs/>
          <w:sz w:val="24"/>
          <w:szCs w:val="24"/>
        </w:rPr>
        <w:t xml:space="preserve"> fostering collaborations  </w:t>
      </w:r>
    </w:p>
    <w:p w14:paraId="015B1A79" w14:textId="3423093D" w:rsidR="4F56A47E" w:rsidRDefault="0A805085" w:rsidP="0A805085">
      <w:pPr>
        <w:spacing w:after="0" w:line="480" w:lineRule="auto"/>
        <w:rPr>
          <w:rFonts w:ascii="Times New Roman" w:hAnsi="Times New Roman" w:cs="Times New Roman"/>
          <w:sz w:val="24"/>
          <w:szCs w:val="24"/>
        </w:rPr>
      </w:pPr>
      <w:r w:rsidRPr="0A805085">
        <w:rPr>
          <w:rFonts w:ascii="Times New Roman" w:hAnsi="Times New Roman" w:cs="Times New Roman"/>
          <w:b/>
          <w:bCs/>
          <w:sz w:val="24"/>
          <w:szCs w:val="24"/>
        </w:rPr>
        <w:t xml:space="preserve"> </w:t>
      </w:r>
      <w:r w:rsidRPr="0A805085">
        <w:rPr>
          <w:rFonts w:ascii="Times New Roman" w:hAnsi="Times New Roman" w:cs="Times New Roman"/>
          <w:sz w:val="24"/>
          <w:szCs w:val="24"/>
        </w:rPr>
        <w:t>Laboratory medicine is inherently multidisciplinary. Just as decisions regarding diagnostic methods must involve clinicians and other key stakeholders, clinical outcome studies ideally will also involve a diverse group that includes laboratory personnel and individuals who utilize those laboratory results for patient care, infection control, or epidemiological purposes. This group could include laboratory directors and/or technical staff, clinicians in a specialty that utilizes the diagnostic test in question, manufacturers, pharmacists, infection control staff, epidemiologists, statisticians, and even patients.</w:t>
      </w:r>
    </w:p>
    <w:p w14:paraId="394795CB" w14:textId="77777777" w:rsidR="00303AEF" w:rsidRPr="00075B5A" w:rsidRDefault="00303AEF" w:rsidP="0A805085">
      <w:pPr>
        <w:spacing w:after="0" w:line="480" w:lineRule="auto"/>
        <w:rPr>
          <w:rFonts w:ascii="Times New Roman" w:eastAsia="Times New Roman" w:hAnsi="Times New Roman" w:cs="Times New Roman"/>
          <w:strike/>
          <w:sz w:val="24"/>
          <w:szCs w:val="24"/>
        </w:rPr>
      </w:pPr>
    </w:p>
    <w:p w14:paraId="54621202" w14:textId="0DC21BEB" w:rsidR="4F56A47E" w:rsidRPr="00075B5A" w:rsidRDefault="0A805085" w:rsidP="00303AEF">
      <w:pPr>
        <w:spacing w:after="0" w:line="480" w:lineRule="auto"/>
      </w:pPr>
      <w:r w:rsidRPr="0A805085">
        <w:rPr>
          <w:rFonts w:ascii="Times New Roman" w:hAnsi="Times New Roman" w:cs="Times New Roman"/>
          <w:sz w:val="24"/>
          <w:szCs w:val="24"/>
        </w:rPr>
        <w:t xml:space="preserve"> When identifying the key stakeholders to include in a clinical outcome study, consideration must be given to the primary users of the diagnostic method in question. Depending on the test, this could include clinicians from one or more specialties.  For example, a new diagnostic method for diabetes in adults may include practitioners in primary care (i.e. family medicine or internal </w:t>
      </w:r>
      <w:r w:rsidRPr="0A805085">
        <w:rPr>
          <w:rFonts w:ascii="Times New Roman" w:hAnsi="Times New Roman" w:cs="Times New Roman"/>
          <w:sz w:val="24"/>
          <w:szCs w:val="24"/>
        </w:rPr>
        <w:lastRenderedPageBreak/>
        <w:t>medicine) as well as endocrinology.  A new test for gastrointestinal pathogens could include gastroenterologists or infectious diseases physicians. If other test use scenarios</w:t>
      </w:r>
      <w:r w:rsidR="0E9995AC" w:rsidRPr="0E9995AC">
        <w:rPr>
          <w:rFonts w:ascii="Times New Roman" w:hAnsi="Times New Roman" w:cs="Times New Roman"/>
          <w:sz w:val="24"/>
          <w:szCs w:val="24"/>
        </w:rPr>
        <w:t xml:space="preserve"> are applicable, these</w:t>
      </w:r>
      <w:r w:rsidRPr="0A805085">
        <w:rPr>
          <w:rFonts w:ascii="Times New Roman" w:hAnsi="Times New Roman" w:cs="Times New Roman"/>
          <w:sz w:val="24"/>
          <w:szCs w:val="24"/>
        </w:rPr>
        <w:t xml:space="preserve"> should be assessed for relevance to the proposed outcome study</w:t>
      </w:r>
      <w:r w:rsidRPr="0A805085">
        <w:rPr>
          <w:rFonts w:ascii="Times New Roman" w:eastAsia="Times New Roman" w:hAnsi="Times New Roman" w:cs="Times New Roman"/>
          <w:strike/>
          <w:sz w:val="24"/>
          <w:szCs w:val="24"/>
        </w:rPr>
        <w:t>.</w:t>
      </w:r>
    </w:p>
    <w:p w14:paraId="03F20683" w14:textId="77777777" w:rsidR="00303AEF" w:rsidRDefault="00303AEF" w:rsidP="0A805085">
      <w:pPr>
        <w:spacing w:after="0" w:line="480" w:lineRule="auto"/>
        <w:rPr>
          <w:rFonts w:ascii="Times New Roman" w:eastAsia="Times New Roman" w:hAnsi="Times New Roman" w:cs="Times New Roman"/>
          <w:color w:val="000000" w:themeColor="text1"/>
          <w:sz w:val="24"/>
          <w:szCs w:val="24"/>
        </w:rPr>
      </w:pPr>
    </w:p>
    <w:p w14:paraId="7589030C" w14:textId="363AAC55" w:rsidR="4F56A47E" w:rsidRPr="00075B5A" w:rsidRDefault="0E9995AC" w:rsidP="0A805085">
      <w:pPr>
        <w:spacing w:after="0" w:line="480" w:lineRule="auto"/>
        <w:rPr>
          <w:rFonts w:ascii="Times New Roman" w:eastAsia="Times New Roman" w:hAnsi="Times New Roman" w:cs="Times New Roman"/>
          <w:strike/>
          <w:sz w:val="24"/>
          <w:szCs w:val="24"/>
        </w:rPr>
      </w:pPr>
      <w:r w:rsidRPr="0E9995AC">
        <w:rPr>
          <w:rFonts w:ascii="Times New Roman" w:eastAsia="Times New Roman" w:hAnsi="Times New Roman" w:cs="Times New Roman"/>
          <w:color w:val="000000" w:themeColor="text1"/>
          <w:sz w:val="24"/>
          <w:szCs w:val="24"/>
        </w:rPr>
        <w:t>Beyond the immediate clinical team, investigators should consider downstream stakeholders such as hospital administrators, operations managers, and regulatory bodies who are directly impacted by the test’s systemic footprint. Engaging these operational stakeholders during the design phase ensures the study captures administrative outcomes, such as cost-effectiveness or workflow efficiency, that are essential for broader institutional adoption.</w:t>
      </w:r>
    </w:p>
    <w:p w14:paraId="3A07E303" w14:textId="44F51613" w:rsidR="0E9995AC" w:rsidRDefault="0E9995AC" w:rsidP="008571C7">
      <w:pPr>
        <w:spacing w:after="0" w:line="480" w:lineRule="auto"/>
        <w:ind w:firstLine="720"/>
      </w:pPr>
    </w:p>
    <w:p w14:paraId="45859B6E" w14:textId="77777777" w:rsidR="00DD48CD" w:rsidRDefault="00645167" w:rsidP="00645167">
      <w:pPr>
        <w:spacing w:after="0" w:line="480" w:lineRule="auto"/>
        <w:rPr>
          <w:rFonts w:ascii="Times New Roman" w:hAnsi="Times New Roman" w:cs="Times New Roman"/>
          <w:sz w:val="24"/>
          <w:szCs w:val="24"/>
        </w:rPr>
      </w:pPr>
      <w:r w:rsidRPr="00075B5A">
        <w:rPr>
          <w:rFonts w:ascii="Times New Roman" w:hAnsi="Times New Roman" w:cs="Times New Roman"/>
          <w:sz w:val="24"/>
          <w:szCs w:val="24"/>
        </w:rPr>
        <w:t xml:space="preserve">A critical part of the planning phase of the study is to determine how to access and include </w:t>
      </w:r>
      <w:r w:rsidR="03490476" w:rsidRPr="00075B5A">
        <w:rPr>
          <w:rFonts w:ascii="Times New Roman" w:hAnsi="Times New Roman" w:cs="Times New Roman"/>
          <w:sz w:val="24"/>
          <w:szCs w:val="24"/>
        </w:rPr>
        <w:t>a statistician</w:t>
      </w:r>
      <w:r w:rsidRPr="00303AEF">
        <w:rPr>
          <w:rFonts w:ascii="Times New Roman" w:eastAsia="Times New Roman" w:hAnsi="Times New Roman" w:cs="Times New Roman"/>
          <w:sz w:val="24"/>
          <w:szCs w:val="24"/>
        </w:rPr>
        <w:t>.</w:t>
      </w:r>
      <w:r w:rsidR="03490476" w:rsidRPr="00075B5A">
        <w:rPr>
          <w:rFonts w:ascii="Times New Roman" w:hAnsi="Times New Roman" w:cs="Times New Roman"/>
          <w:sz w:val="24"/>
          <w:szCs w:val="24"/>
        </w:rPr>
        <w:t xml:space="preserve"> Ideally, any study that is likely to generate data will benefit from early involvement of a statistician who can assist not only with the analysis of data but can also help with</w:t>
      </w:r>
      <w:r w:rsidR="243FB466" w:rsidRPr="00075B5A">
        <w:rPr>
          <w:rFonts w:ascii="Times New Roman" w:hAnsi="Times New Roman" w:cs="Times New Roman"/>
          <w:sz w:val="24"/>
          <w:szCs w:val="24"/>
        </w:rPr>
        <w:t xml:space="preserve"> critical elements such as</w:t>
      </w:r>
      <w:r w:rsidR="03490476" w:rsidRPr="00075B5A">
        <w:rPr>
          <w:rFonts w:ascii="Times New Roman" w:hAnsi="Times New Roman" w:cs="Times New Roman"/>
          <w:sz w:val="24"/>
          <w:szCs w:val="24"/>
        </w:rPr>
        <w:t xml:space="preserve"> study design</w:t>
      </w:r>
      <w:r w:rsidR="151815FB" w:rsidRPr="00075B5A">
        <w:rPr>
          <w:rFonts w:ascii="Times New Roman" w:hAnsi="Times New Roman" w:cs="Times New Roman"/>
          <w:sz w:val="24"/>
          <w:szCs w:val="24"/>
        </w:rPr>
        <w:t>, bias analysis</w:t>
      </w:r>
      <w:r w:rsidR="03490476" w:rsidRPr="00075B5A">
        <w:rPr>
          <w:rFonts w:ascii="Times New Roman" w:hAnsi="Times New Roman" w:cs="Times New Roman"/>
          <w:sz w:val="24"/>
          <w:szCs w:val="24"/>
        </w:rPr>
        <w:t>, determin</w:t>
      </w:r>
      <w:r w:rsidR="19636527" w:rsidRPr="00075B5A">
        <w:rPr>
          <w:rFonts w:ascii="Times New Roman" w:hAnsi="Times New Roman" w:cs="Times New Roman"/>
          <w:sz w:val="24"/>
          <w:szCs w:val="24"/>
        </w:rPr>
        <w:t>ing</w:t>
      </w:r>
      <w:r w:rsidR="03490476" w:rsidRPr="00075B5A">
        <w:rPr>
          <w:rFonts w:ascii="Times New Roman" w:hAnsi="Times New Roman" w:cs="Times New Roman"/>
          <w:sz w:val="24"/>
          <w:szCs w:val="24"/>
        </w:rPr>
        <w:t xml:space="preserve"> a plan for data analysis, and calculat</w:t>
      </w:r>
      <w:r w:rsidR="38ABDBA3" w:rsidRPr="00075B5A">
        <w:rPr>
          <w:rFonts w:ascii="Times New Roman" w:hAnsi="Times New Roman" w:cs="Times New Roman"/>
          <w:sz w:val="24"/>
          <w:szCs w:val="24"/>
        </w:rPr>
        <w:t>ing</w:t>
      </w:r>
      <w:r w:rsidR="03490476" w:rsidRPr="00075B5A">
        <w:rPr>
          <w:rFonts w:ascii="Times New Roman" w:hAnsi="Times New Roman" w:cs="Times New Roman"/>
          <w:sz w:val="24"/>
          <w:szCs w:val="24"/>
        </w:rPr>
        <w:t xml:space="preserve"> necessary sample size.</w:t>
      </w:r>
    </w:p>
    <w:p w14:paraId="065235A6" w14:textId="1477730E" w:rsidR="4F56A47E" w:rsidRPr="00075B5A" w:rsidRDefault="03490476" w:rsidP="00645167">
      <w:pPr>
        <w:spacing w:after="0" w:line="480" w:lineRule="auto"/>
        <w:rPr>
          <w:rFonts w:ascii="Times New Roman" w:hAnsi="Times New Roman" w:cs="Times New Roman"/>
          <w:sz w:val="24"/>
          <w:szCs w:val="24"/>
        </w:rPr>
      </w:pPr>
      <w:r w:rsidRPr="00075B5A">
        <w:rPr>
          <w:rFonts w:ascii="Times New Roman" w:hAnsi="Times New Roman" w:cs="Times New Roman"/>
          <w:sz w:val="24"/>
          <w:szCs w:val="24"/>
        </w:rPr>
        <w:t xml:space="preserve"> </w:t>
      </w:r>
    </w:p>
    <w:p w14:paraId="77B86F7A" w14:textId="1E96EB97" w:rsidR="00DD48CD" w:rsidRDefault="0A805085" w:rsidP="00DD48CD">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In some cases, manufacturers may have an interest in </w:t>
      </w:r>
      <w:r w:rsidR="004373B0">
        <w:rPr>
          <w:rFonts w:ascii="Times New Roman" w:hAnsi="Times New Roman" w:cs="Times New Roman"/>
          <w:sz w:val="24"/>
          <w:szCs w:val="24"/>
        </w:rPr>
        <w:t xml:space="preserve">an </w:t>
      </w:r>
      <w:r w:rsidRPr="0A805085">
        <w:rPr>
          <w:rFonts w:ascii="Times New Roman" w:hAnsi="Times New Roman" w:cs="Times New Roman"/>
          <w:sz w:val="24"/>
          <w:szCs w:val="24"/>
        </w:rPr>
        <w:t>evaluation of clinical outcomes for a test developed and/or marketed by them. This may be particularly relevant for newer technology or novel applications of existing assays. When partnering with manufacturers, potential real or perceived conflicts of interest should be identified and addressed prior to study initiation. If a study is fully or partially funded by a company with a stake in the results of the study, disclosure of the source of that funding is necessary.</w:t>
      </w:r>
    </w:p>
    <w:p w14:paraId="5FA3CBF4" w14:textId="77777777" w:rsidR="00DD48CD" w:rsidRDefault="00DD48CD" w:rsidP="00DD48CD">
      <w:pPr>
        <w:spacing w:after="0" w:line="480" w:lineRule="auto"/>
        <w:rPr>
          <w:rFonts w:ascii="Times New Roman" w:hAnsi="Times New Roman" w:cs="Times New Roman"/>
          <w:sz w:val="24"/>
          <w:szCs w:val="24"/>
        </w:rPr>
      </w:pPr>
    </w:p>
    <w:p w14:paraId="49984FA7" w14:textId="41B5344A" w:rsidR="536C74B6" w:rsidRPr="00075B5A" w:rsidRDefault="0A805085" w:rsidP="00DD48CD">
      <w:pPr>
        <w:spacing w:after="0" w:line="480" w:lineRule="auto"/>
        <w:rPr>
          <w:rFonts w:ascii="Times New Roman" w:eastAsia="Times New Roman" w:hAnsi="Times New Roman" w:cs="Times New Roman"/>
          <w:strike/>
          <w:sz w:val="24"/>
          <w:szCs w:val="24"/>
        </w:rPr>
      </w:pPr>
      <w:r w:rsidRPr="0A805085">
        <w:rPr>
          <w:rFonts w:ascii="Times New Roman" w:hAnsi="Times New Roman" w:cs="Times New Roman"/>
          <w:sz w:val="24"/>
          <w:szCs w:val="24"/>
        </w:rPr>
        <w:lastRenderedPageBreak/>
        <w:t>Finally, any study that uses human subjects should be reviewed by an institutional review board (IRB) to ensure that the rights, safety, and welfare of all human subjects are protected.</w:t>
      </w:r>
    </w:p>
    <w:p w14:paraId="2761A975" w14:textId="36381497" w:rsidR="00DC7713" w:rsidRPr="00075B5A" w:rsidRDefault="00DC7713" w:rsidP="006563F6">
      <w:pPr>
        <w:spacing w:after="0" w:line="480" w:lineRule="auto"/>
        <w:rPr>
          <w:rFonts w:ascii="Times New Roman" w:hAnsi="Times New Roman" w:cs="Times New Roman"/>
          <w:b/>
          <w:bCs/>
          <w:sz w:val="24"/>
          <w:szCs w:val="24"/>
        </w:rPr>
      </w:pPr>
    </w:p>
    <w:p w14:paraId="0A126A86" w14:textId="4E5EBCA1" w:rsidR="0040792A" w:rsidRPr="00075B5A" w:rsidRDefault="00326CA9" w:rsidP="006563F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T</w:t>
      </w:r>
      <w:r w:rsidR="0A805085" w:rsidRPr="0A805085">
        <w:rPr>
          <w:rFonts w:ascii="Times New Roman" w:hAnsi="Times New Roman" w:cs="Times New Roman"/>
          <w:b/>
          <w:bCs/>
          <w:sz w:val="24"/>
          <w:szCs w:val="24"/>
        </w:rPr>
        <w:t>ypes of outcome studies and strengths/</w:t>
      </w:r>
      <w:commentRangeStart w:id="11"/>
      <w:commentRangeStart w:id="12"/>
      <w:r w:rsidR="0A805085" w:rsidRPr="0A805085">
        <w:rPr>
          <w:rFonts w:ascii="Times New Roman" w:hAnsi="Times New Roman" w:cs="Times New Roman"/>
          <w:b/>
          <w:bCs/>
          <w:sz w:val="24"/>
          <w:szCs w:val="24"/>
        </w:rPr>
        <w:t xml:space="preserve">limitations </w:t>
      </w:r>
      <w:commentRangeEnd w:id="12"/>
      <w:r w:rsidR="0040792A" w:rsidRPr="00075B5A">
        <w:rPr>
          <w:rStyle w:val="CommentReference"/>
          <w:rFonts w:ascii="Times New Roman" w:hAnsi="Times New Roman" w:cs="Times New Roman"/>
          <w:b/>
          <w:bCs/>
          <w:sz w:val="24"/>
          <w:szCs w:val="24"/>
        </w:rPr>
        <w:commentReference w:id="12"/>
      </w:r>
      <w:commentRangeEnd w:id="11"/>
      <w:r w:rsidR="0040792A" w:rsidRPr="00075B5A">
        <w:rPr>
          <w:rStyle w:val="CommentReference"/>
          <w:rFonts w:ascii="Times New Roman" w:hAnsi="Times New Roman" w:cs="Times New Roman"/>
          <w:b/>
          <w:bCs/>
          <w:sz w:val="24"/>
          <w:szCs w:val="24"/>
        </w:rPr>
        <w:commentReference w:id="11"/>
      </w:r>
    </w:p>
    <w:p w14:paraId="41EDAB07" w14:textId="44CD9A88" w:rsidR="54837DBA" w:rsidRPr="00075B5A" w:rsidRDefault="004373B0" w:rsidP="006563F6">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S</w:t>
      </w:r>
      <w:r w:rsidR="0A805085" w:rsidRPr="0A805085">
        <w:rPr>
          <w:rFonts w:ascii="Times New Roman" w:eastAsia="Arial" w:hAnsi="Times New Roman" w:cs="Times New Roman"/>
          <w:sz w:val="24"/>
          <w:szCs w:val="24"/>
        </w:rPr>
        <w:t xml:space="preserve">tudies that seek to evaluate laboratory tests tend to focus primarily on test performance </w:t>
      </w:r>
      <w:r w:rsidR="00326CA9" w:rsidRPr="0A805085">
        <w:rPr>
          <w:rFonts w:ascii="Times New Roman" w:eastAsia="Arial" w:hAnsi="Times New Roman" w:cs="Times New Roman"/>
          <w:sz w:val="24"/>
          <w:szCs w:val="24"/>
        </w:rPr>
        <w:t>characteristics</w:t>
      </w:r>
      <w:r w:rsidR="0A805085" w:rsidRPr="0A805085">
        <w:rPr>
          <w:rFonts w:ascii="Times New Roman" w:eastAsia="Arial" w:hAnsi="Times New Roman" w:cs="Times New Roman"/>
          <w:sz w:val="24"/>
          <w:szCs w:val="24"/>
        </w:rPr>
        <w:t xml:space="preserve"> (i.e. diagnostic performance studies). A major unmet need is outcome studies which evaluate the downstream impact of a diagnostic test (</w:t>
      </w:r>
      <w:commentRangeStart w:id="13"/>
      <w:r w:rsidR="0A805085" w:rsidRPr="0A805085">
        <w:rPr>
          <w:rFonts w:ascii="Times New Roman" w:eastAsia="Arial" w:hAnsi="Times New Roman" w:cs="Times New Roman"/>
          <w:sz w:val="24"/>
          <w:szCs w:val="24"/>
        </w:rPr>
        <w:t>1)</w:t>
      </w:r>
      <w:commentRangeEnd w:id="13"/>
      <w:r w:rsidR="2602903A" w:rsidRPr="0A805085">
        <w:rPr>
          <w:rStyle w:val="CommentReference"/>
          <w:rFonts w:ascii="Times New Roman" w:eastAsia="Arial" w:hAnsi="Times New Roman" w:cs="Times New Roman"/>
          <w:sz w:val="24"/>
          <w:szCs w:val="24"/>
        </w:rPr>
        <w:commentReference w:id="13"/>
      </w:r>
      <w:r w:rsidR="0A805085" w:rsidRPr="0A805085">
        <w:rPr>
          <w:rFonts w:ascii="Times New Roman" w:eastAsia="Arial" w:hAnsi="Times New Roman" w:cs="Times New Roman"/>
          <w:sz w:val="24"/>
          <w:szCs w:val="24"/>
        </w:rPr>
        <w:t xml:space="preserve">. Typically, in an outcome study subjects receive an intervention (either assigned or not), which </w:t>
      </w:r>
      <w:r w:rsidR="0015456D">
        <w:rPr>
          <w:rFonts w:ascii="Times New Roman" w:eastAsia="Arial" w:hAnsi="Times New Roman" w:cs="Times New Roman"/>
          <w:sz w:val="24"/>
          <w:szCs w:val="24"/>
        </w:rPr>
        <w:t>may</w:t>
      </w:r>
      <w:r w:rsidR="0A805085" w:rsidRPr="0A805085">
        <w:rPr>
          <w:rFonts w:ascii="Times New Roman" w:eastAsia="Arial" w:hAnsi="Times New Roman" w:cs="Times New Roman"/>
          <w:sz w:val="24"/>
          <w:szCs w:val="24"/>
        </w:rPr>
        <w:t xml:space="preserve"> be part of a bundle, and then are studied at planned intervals using validated assessment tools to assess outcome parameters (or their validated surrogates) to determine the causality between said intervention and outcomes. Outcome study designs include interventional studies, quasi-experimental and observational studies. These are discussed briefly below (</w:t>
      </w:r>
      <w:r w:rsidR="0A805085" w:rsidRPr="0A805085">
        <w:rPr>
          <w:rFonts w:ascii="Times New Roman" w:eastAsia="Arial" w:hAnsi="Times New Roman" w:cs="Times New Roman"/>
          <w:b/>
          <w:bCs/>
          <w:sz w:val="24"/>
          <w:szCs w:val="24"/>
        </w:rPr>
        <w:t>Table X</w:t>
      </w:r>
      <w:r w:rsidR="0A805085" w:rsidRPr="0A805085">
        <w:rPr>
          <w:rFonts w:ascii="Times New Roman" w:eastAsia="Arial" w:hAnsi="Times New Roman" w:cs="Times New Roman"/>
          <w:sz w:val="24"/>
          <w:szCs w:val="24"/>
        </w:rPr>
        <w:t xml:space="preserve">).  </w:t>
      </w:r>
    </w:p>
    <w:p w14:paraId="196F203D" w14:textId="152BC65F"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55EB804B" w14:textId="3B9C7EAE" w:rsidR="54837DBA" w:rsidRPr="00075B5A" w:rsidRDefault="54837DBA" w:rsidP="006563F6">
      <w:pPr>
        <w:spacing w:after="0" w:line="480" w:lineRule="auto"/>
        <w:rPr>
          <w:rFonts w:ascii="Times New Roman" w:eastAsia="Arial" w:hAnsi="Times New Roman" w:cs="Times New Roman"/>
          <w:sz w:val="24"/>
          <w:szCs w:val="24"/>
          <w:u w:val="single"/>
        </w:rPr>
      </w:pPr>
      <w:r w:rsidRPr="00075B5A">
        <w:rPr>
          <w:rFonts w:ascii="Times New Roman" w:eastAsia="Arial" w:hAnsi="Times New Roman" w:cs="Times New Roman"/>
          <w:sz w:val="24"/>
          <w:szCs w:val="24"/>
          <w:u w:val="single"/>
        </w:rPr>
        <w:t xml:space="preserve">Interventional (experimental) Studies </w:t>
      </w:r>
    </w:p>
    <w:p w14:paraId="57B1160E" w14:textId="77777777" w:rsidR="00A46102" w:rsidRDefault="0E9995AC" w:rsidP="00A46102">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 xml:space="preserve"> An interventional study is one where participants are typically assigned into an interventional group with an exposure of the investigator’s design and a control group. </w:t>
      </w:r>
      <w:r w:rsidRPr="0E9995AC">
        <w:rPr>
          <w:rFonts w:ascii="Times New Roman" w:eastAsia="Arial" w:hAnsi="Times New Roman" w:cs="Times New Roman"/>
          <w:color w:val="1F1F1F"/>
          <w:sz w:val="24"/>
          <w:szCs w:val="24"/>
        </w:rPr>
        <w:t xml:space="preserve">Interventional studies are subdivided into two main categories: randomized and non-randomized </w:t>
      </w:r>
      <w:commentRangeStart w:id="14"/>
      <w:r w:rsidRPr="0E9995AC">
        <w:rPr>
          <w:rFonts w:ascii="Times New Roman" w:eastAsia="Arial" w:hAnsi="Times New Roman" w:cs="Times New Roman"/>
          <w:color w:val="1F1F1F"/>
          <w:sz w:val="24"/>
          <w:szCs w:val="24"/>
        </w:rPr>
        <w:t>(2)</w:t>
      </w:r>
      <w:commentRangeEnd w:id="14"/>
      <w:r w:rsidR="00A46102" w:rsidRPr="0E9995AC">
        <w:rPr>
          <w:rStyle w:val="CommentReference"/>
          <w:rFonts w:ascii="Times New Roman" w:eastAsia="Arial" w:hAnsi="Times New Roman" w:cs="Times New Roman"/>
          <w:color w:val="1F1F1F"/>
          <w:sz w:val="24"/>
          <w:szCs w:val="24"/>
        </w:rPr>
        <w:commentReference w:id="14"/>
      </w:r>
      <w:r w:rsidRPr="0E9995AC">
        <w:rPr>
          <w:rFonts w:ascii="Times New Roman" w:eastAsia="Arial" w:hAnsi="Times New Roman" w:cs="Times New Roman"/>
          <w:color w:val="1F1F1F"/>
          <w:sz w:val="24"/>
          <w:szCs w:val="24"/>
        </w:rPr>
        <w:t>.</w:t>
      </w:r>
      <w:r w:rsidRPr="0E9995AC">
        <w:rPr>
          <w:rFonts w:ascii="Times New Roman" w:eastAsia="Georgia" w:hAnsi="Times New Roman" w:cs="Times New Roman"/>
          <w:color w:val="1F1F1F"/>
          <w:sz w:val="24"/>
          <w:szCs w:val="24"/>
        </w:rPr>
        <w:t xml:space="preserve"> </w:t>
      </w:r>
      <w:r w:rsidRPr="0E9995AC">
        <w:rPr>
          <w:rFonts w:ascii="Times New Roman" w:eastAsia="Arial" w:hAnsi="Times New Roman" w:cs="Times New Roman"/>
          <w:sz w:val="24"/>
          <w:szCs w:val="24"/>
        </w:rPr>
        <w:t xml:space="preserve"> Randomized controlled trials (RCTs) involve the randomization of an individual or a group to an intervention. This is done to determine the impact of the intervention and demonstrate causality between the intervention and the outcome (</w:t>
      </w:r>
      <w:commentRangeStart w:id="15"/>
      <w:r w:rsidRPr="0E9995AC">
        <w:rPr>
          <w:rFonts w:ascii="Times New Roman" w:eastAsia="Arial" w:hAnsi="Times New Roman" w:cs="Times New Roman"/>
          <w:sz w:val="24"/>
          <w:szCs w:val="24"/>
        </w:rPr>
        <w:t>3</w:t>
      </w:r>
      <w:commentRangeEnd w:id="15"/>
      <w:r w:rsidR="00A46102" w:rsidRPr="0E9995AC">
        <w:rPr>
          <w:rStyle w:val="CommentReference"/>
          <w:rFonts w:ascii="Times New Roman" w:eastAsia="Arial" w:hAnsi="Times New Roman" w:cs="Times New Roman"/>
          <w:sz w:val="24"/>
          <w:szCs w:val="24"/>
        </w:rPr>
        <w:commentReference w:id="15"/>
      </w:r>
      <w:r w:rsidRPr="0E9995AC">
        <w:rPr>
          <w:rFonts w:ascii="Times New Roman" w:eastAsia="Arial" w:hAnsi="Times New Roman" w:cs="Times New Roman"/>
          <w:sz w:val="24"/>
          <w:szCs w:val="24"/>
        </w:rPr>
        <w:t xml:space="preserve">). The act of randomization allows for equal distribution of </w:t>
      </w:r>
      <w:r w:rsidR="00363C12">
        <w:rPr>
          <w:rFonts w:ascii="Times New Roman" w:eastAsia="Arial" w:hAnsi="Times New Roman" w:cs="Times New Roman"/>
          <w:sz w:val="24"/>
          <w:szCs w:val="24"/>
        </w:rPr>
        <w:t>confounding</w:t>
      </w:r>
      <w:r w:rsidRPr="0E9995AC">
        <w:rPr>
          <w:rFonts w:ascii="Times New Roman" w:eastAsia="Arial" w:hAnsi="Times New Roman" w:cs="Times New Roman"/>
          <w:sz w:val="24"/>
          <w:szCs w:val="24"/>
        </w:rPr>
        <w:t xml:space="preserve"> variables and creation of well-balanced groups, reducing bias and confounding, and allowing for a high degree of internal validity. Double masked, blinded, randomized, controlled, multi-center clinical trials are the “gold standard” for clinical outcome studies. When conducted </w:t>
      </w:r>
      <w:r w:rsidRPr="0E9995AC">
        <w:rPr>
          <w:rFonts w:ascii="Times New Roman" w:eastAsia="Arial" w:hAnsi="Times New Roman" w:cs="Times New Roman"/>
          <w:sz w:val="24"/>
          <w:szCs w:val="24"/>
        </w:rPr>
        <w:lastRenderedPageBreak/>
        <w:t xml:space="preserve">appropriately, clinical outcome data generated from them represents the highest quality data </w:t>
      </w:r>
      <w:r w:rsidRPr="0E9995AC">
        <w:rPr>
          <w:rFonts w:ascii="Times New Roman" w:eastAsia="Arial" w:hAnsi="Times New Roman" w:cs="Times New Roman"/>
          <w:color w:val="1F1F1F"/>
          <w:sz w:val="24"/>
          <w:szCs w:val="24"/>
        </w:rPr>
        <w:t>(2)</w:t>
      </w:r>
      <w:r w:rsidRPr="0E9995AC">
        <w:rPr>
          <w:rFonts w:ascii="Times New Roman" w:eastAsia="Arial" w:hAnsi="Times New Roman" w:cs="Times New Roman"/>
          <w:sz w:val="24"/>
          <w:szCs w:val="24"/>
        </w:rPr>
        <w:t xml:space="preserve">. </w:t>
      </w:r>
      <w:r w:rsidR="00A46102">
        <w:rPr>
          <w:rFonts w:ascii="Times New Roman" w:eastAsia="Arial" w:hAnsi="Times New Roman" w:cs="Times New Roman"/>
          <w:sz w:val="24"/>
          <w:szCs w:val="24"/>
        </w:rPr>
        <w:t>The RCT study design also introduces the opportunity to include desirability of outcome ranking (DOOR) outcomes, which enables the combination of multiple clinical outcomes in a single metric (</w:t>
      </w:r>
      <w:commentRangeStart w:id="16"/>
      <w:r w:rsidR="00A46102">
        <w:rPr>
          <w:rFonts w:ascii="Times New Roman" w:eastAsia="Arial" w:hAnsi="Times New Roman" w:cs="Times New Roman"/>
          <w:sz w:val="24"/>
          <w:szCs w:val="24"/>
        </w:rPr>
        <w:t>REFs</w:t>
      </w:r>
      <w:commentRangeEnd w:id="16"/>
      <w:r w:rsidR="00A46102">
        <w:rPr>
          <w:rStyle w:val="CommentReference"/>
          <w:rFonts w:ascii="Times New Roman" w:eastAsia="Arial" w:hAnsi="Times New Roman" w:cs="Times New Roman"/>
          <w:sz w:val="24"/>
          <w:szCs w:val="24"/>
        </w:rPr>
        <w:commentReference w:id="16"/>
      </w:r>
      <w:r w:rsidR="00A46102">
        <w:rPr>
          <w:rFonts w:ascii="Times New Roman" w:eastAsia="Arial" w:hAnsi="Times New Roman" w:cs="Times New Roman"/>
          <w:sz w:val="24"/>
          <w:szCs w:val="24"/>
        </w:rPr>
        <w:t>).</w:t>
      </w:r>
    </w:p>
    <w:p w14:paraId="072BCF6F" w14:textId="6831C074" w:rsidR="00A46102" w:rsidRDefault="00A46102" w:rsidP="00A46102">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 xml:space="preserve"> </w:t>
      </w:r>
    </w:p>
    <w:p w14:paraId="6A427BF4" w14:textId="36C18F2B" w:rsidR="54837DBA" w:rsidRPr="00075B5A" w:rsidRDefault="0E9995AC" w:rsidP="006563F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 xml:space="preserve">When participants are assigned in a non-random fashion to the exposure under study </w:t>
      </w:r>
      <w:r w:rsidR="00DD5FB3">
        <w:rPr>
          <w:rFonts w:ascii="Times New Roman" w:eastAsia="Arial" w:hAnsi="Times New Roman" w:cs="Times New Roman"/>
          <w:sz w:val="24"/>
          <w:szCs w:val="24"/>
        </w:rPr>
        <w:t>it</w:t>
      </w:r>
      <w:r w:rsidRPr="0E9995AC">
        <w:rPr>
          <w:rFonts w:ascii="Times New Roman" w:eastAsia="Arial" w:hAnsi="Times New Roman" w:cs="Times New Roman"/>
          <w:sz w:val="24"/>
          <w:szCs w:val="24"/>
        </w:rPr>
        <w:t xml:space="preserve"> is termed a non-randomized controlled trial. Some examples of different interventional study designs are included in </w:t>
      </w:r>
      <w:r w:rsidRPr="0E9995AC">
        <w:rPr>
          <w:rFonts w:ascii="Times New Roman" w:eastAsia="Arial" w:hAnsi="Times New Roman" w:cs="Times New Roman"/>
          <w:b/>
          <w:bCs/>
          <w:sz w:val="24"/>
          <w:szCs w:val="24"/>
        </w:rPr>
        <w:t>Table X</w:t>
      </w:r>
      <w:r w:rsidRPr="0E9995AC">
        <w:rPr>
          <w:rFonts w:ascii="Times New Roman" w:eastAsia="Arial" w:hAnsi="Times New Roman" w:cs="Times New Roman"/>
          <w:sz w:val="24"/>
          <w:szCs w:val="24"/>
        </w:rPr>
        <w:t xml:space="preserve">. </w:t>
      </w:r>
    </w:p>
    <w:p w14:paraId="7564BBDB" w14:textId="04378933" w:rsidR="00797D49"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7A5A7078" w14:textId="0D2394B9" w:rsidR="54837DBA" w:rsidRPr="00075B5A" w:rsidRDefault="0E9995AC" w:rsidP="006563F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While RCTs offer the highest quality evidence, there are limitations to performing RCTs. Notably these include cost, feasibility and lack of equipoise (3). Moreover, when assessing a</w:t>
      </w:r>
      <w:r w:rsidR="007F60C8">
        <w:rPr>
          <w:rFonts w:ascii="Times New Roman" w:eastAsia="Arial" w:hAnsi="Times New Roman" w:cs="Times New Roman"/>
          <w:sz w:val="24"/>
          <w:szCs w:val="24"/>
        </w:rPr>
        <w:t xml:space="preserve"> </w:t>
      </w:r>
      <w:r w:rsidRPr="0E9995AC">
        <w:rPr>
          <w:rFonts w:ascii="Times New Roman" w:eastAsia="Arial" w:hAnsi="Times New Roman" w:cs="Times New Roman"/>
          <w:sz w:val="24"/>
          <w:szCs w:val="24"/>
        </w:rPr>
        <w:t xml:space="preserve">clinical </w:t>
      </w:r>
      <w:r w:rsidR="007F60C8">
        <w:rPr>
          <w:rFonts w:ascii="Times New Roman" w:eastAsia="Arial" w:hAnsi="Times New Roman" w:cs="Times New Roman"/>
          <w:sz w:val="24"/>
          <w:szCs w:val="24"/>
        </w:rPr>
        <w:t>laboratory</w:t>
      </w:r>
      <w:r w:rsidRPr="0E9995AC">
        <w:rPr>
          <w:rFonts w:ascii="Times New Roman" w:eastAsia="Arial" w:hAnsi="Times New Roman" w:cs="Times New Roman"/>
          <w:sz w:val="24"/>
          <w:szCs w:val="24"/>
        </w:rPr>
        <w:t xml:space="preserve"> intervention, masking may be difficult to implement in the setting of an RCT. </w:t>
      </w:r>
    </w:p>
    <w:p w14:paraId="3BE72514" w14:textId="6BF58B3C"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6ACFEA5F" w14:textId="37EE95D2" w:rsidR="54837DBA" w:rsidRPr="00075B5A" w:rsidRDefault="54837DBA" w:rsidP="006563F6">
      <w:pPr>
        <w:spacing w:after="0" w:line="480" w:lineRule="auto"/>
        <w:rPr>
          <w:rFonts w:ascii="Times New Roman" w:eastAsia="Arial" w:hAnsi="Times New Roman" w:cs="Times New Roman"/>
          <w:sz w:val="24"/>
          <w:szCs w:val="24"/>
          <w:u w:val="single"/>
        </w:rPr>
      </w:pPr>
      <w:r w:rsidRPr="00075B5A">
        <w:rPr>
          <w:rFonts w:ascii="Times New Roman" w:eastAsia="Arial" w:hAnsi="Times New Roman" w:cs="Times New Roman"/>
          <w:sz w:val="24"/>
          <w:szCs w:val="24"/>
          <w:u w:val="single"/>
        </w:rPr>
        <w:t>Quasi-experimental studies</w:t>
      </w:r>
    </w:p>
    <w:p w14:paraId="7ED6F749" w14:textId="17B40329"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r w:rsidR="0A805085" w:rsidRPr="0A805085">
        <w:rPr>
          <w:rFonts w:ascii="Times New Roman" w:eastAsia="Arial" w:hAnsi="Times New Roman" w:cs="Times New Roman"/>
          <w:sz w:val="24"/>
          <w:szCs w:val="24"/>
        </w:rPr>
        <w:t xml:space="preserve">As RCTs are not always practical, feasible or ethical, thoughtfully well-designed non-interventional studies can provide strong and complementary clinical outcomes data. One study design which can be utilized is quasi-experimental studies. They seek to evaluate an intervention and demonstrate causality between an intervention and outcome, but in the absence of randomization </w:t>
      </w:r>
      <w:commentRangeStart w:id="17"/>
      <w:r w:rsidR="0A805085" w:rsidRPr="0A805085">
        <w:rPr>
          <w:rFonts w:ascii="Times New Roman" w:eastAsia="Arial" w:hAnsi="Times New Roman" w:cs="Times New Roman"/>
          <w:sz w:val="24"/>
          <w:szCs w:val="24"/>
        </w:rPr>
        <w:t>(4</w:t>
      </w:r>
      <w:commentRangeEnd w:id="17"/>
      <w:r w:rsidRPr="0A805085">
        <w:rPr>
          <w:rStyle w:val="CommentReference"/>
          <w:rFonts w:ascii="Times New Roman" w:eastAsia="Arial" w:hAnsi="Times New Roman" w:cs="Times New Roman"/>
          <w:sz w:val="24"/>
          <w:szCs w:val="24"/>
        </w:rPr>
        <w:commentReference w:id="17"/>
      </w:r>
      <w:r w:rsidR="0A805085" w:rsidRPr="0A805085">
        <w:rPr>
          <w:rFonts w:ascii="Times New Roman" w:eastAsia="Arial" w:hAnsi="Times New Roman" w:cs="Times New Roman"/>
          <w:sz w:val="24"/>
          <w:szCs w:val="24"/>
        </w:rPr>
        <w:t>).</w:t>
      </w:r>
    </w:p>
    <w:p w14:paraId="2774C858" w14:textId="1B6C0F33"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38BB6248" w14:textId="266DFFDE" w:rsidR="54837DBA" w:rsidRPr="00075B5A" w:rsidRDefault="0E9995AC" w:rsidP="006563F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 xml:space="preserve">Among quasi-experimental studies, the most straightforward design is the pre-post comparison study (4). Here the intervention is introduced at a single point in time to one or more sites, for which there is also a pre-test and post-test evaluation period. The pre- and post- interventional </w:t>
      </w:r>
      <w:r w:rsidRPr="0E9995AC">
        <w:rPr>
          <w:rFonts w:ascii="Times New Roman" w:eastAsia="Arial" w:hAnsi="Times New Roman" w:cs="Times New Roman"/>
          <w:sz w:val="24"/>
          <w:szCs w:val="24"/>
        </w:rPr>
        <w:lastRenderedPageBreak/>
        <w:t xml:space="preserve">differences between these two sites are then compared. The advantage of this design is its relative simplicity. It can be strengthened by the addition of a </w:t>
      </w:r>
      <w:r w:rsidR="007C19EA">
        <w:rPr>
          <w:rFonts w:ascii="Times New Roman" w:eastAsia="Arial" w:hAnsi="Times New Roman" w:cs="Times New Roman"/>
          <w:sz w:val="24"/>
          <w:szCs w:val="24"/>
        </w:rPr>
        <w:t xml:space="preserve">historical control or a </w:t>
      </w:r>
      <w:r w:rsidRPr="0E9995AC">
        <w:rPr>
          <w:rFonts w:ascii="Times New Roman" w:eastAsia="Arial" w:hAnsi="Times New Roman" w:cs="Times New Roman"/>
          <w:sz w:val="24"/>
          <w:szCs w:val="24"/>
        </w:rPr>
        <w:t>non-equivalent control group (an analogous unit or hospital)</w:t>
      </w:r>
      <w:r w:rsidR="00E77719">
        <w:rPr>
          <w:rFonts w:ascii="Times New Roman" w:eastAsia="Arial" w:hAnsi="Times New Roman" w:cs="Times New Roman"/>
          <w:sz w:val="24"/>
          <w:szCs w:val="24"/>
        </w:rPr>
        <w:t>,</w:t>
      </w:r>
      <w:r w:rsidRPr="0E9995AC">
        <w:rPr>
          <w:rFonts w:ascii="Times New Roman" w:eastAsia="Arial" w:hAnsi="Times New Roman" w:cs="Times New Roman"/>
          <w:sz w:val="24"/>
          <w:szCs w:val="24"/>
        </w:rPr>
        <w:t xml:space="preserve"> where the intervention did not occur and similar pre- and post-test values are available. </w:t>
      </w:r>
    </w:p>
    <w:p w14:paraId="27A1D711" w14:textId="32E0A258"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0C2C742E" w14:textId="5FC8AA77" w:rsidR="54837DBA" w:rsidRPr="00075B5A" w:rsidRDefault="0A805085" w:rsidP="006563F6">
      <w:pPr>
        <w:spacing w:after="0" w:line="480" w:lineRule="auto"/>
        <w:rPr>
          <w:rFonts w:ascii="Times New Roman" w:eastAsia="Arial" w:hAnsi="Times New Roman" w:cs="Times New Roman"/>
          <w:sz w:val="24"/>
          <w:szCs w:val="24"/>
        </w:rPr>
      </w:pPr>
      <w:r w:rsidRPr="0A805085">
        <w:rPr>
          <w:rFonts w:ascii="Times New Roman" w:eastAsia="Arial" w:hAnsi="Times New Roman" w:cs="Times New Roman"/>
          <w:sz w:val="24"/>
          <w:szCs w:val="24"/>
        </w:rPr>
        <w:t>An interrupted time series (ITS) design involves collection of outcome data at multiple time points before and after an intervention is introduced at a given point in time (</w:t>
      </w:r>
      <w:commentRangeStart w:id="18"/>
      <w:r w:rsidRPr="0A805085">
        <w:rPr>
          <w:rFonts w:ascii="Times New Roman" w:eastAsia="Arial" w:hAnsi="Times New Roman" w:cs="Times New Roman"/>
          <w:sz w:val="24"/>
          <w:szCs w:val="24"/>
        </w:rPr>
        <w:t>6</w:t>
      </w:r>
      <w:commentRangeEnd w:id="18"/>
      <w:r w:rsidR="54837DBA" w:rsidRPr="0A805085">
        <w:rPr>
          <w:rStyle w:val="CommentReference"/>
          <w:rFonts w:ascii="Times New Roman" w:eastAsia="Arial" w:hAnsi="Times New Roman" w:cs="Times New Roman"/>
          <w:sz w:val="24"/>
          <w:szCs w:val="24"/>
        </w:rPr>
        <w:commentReference w:id="18"/>
      </w:r>
      <w:r w:rsidRPr="0A805085">
        <w:rPr>
          <w:rFonts w:ascii="Times New Roman" w:eastAsia="Arial" w:hAnsi="Times New Roman" w:cs="Times New Roman"/>
          <w:sz w:val="24"/>
          <w:szCs w:val="24"/>
        </w:rPr>
        <w:t>). The pre-intervention datapoints are used to establish the pre-intervention trend that is assumed to continue unchanged in the absence of the intervention under study (i.e., the counterfactual scenario). The impact of the intervention is assessed using a regression model that includes three time-based covariates to estimate the pre-intervention slope/trend, a “step” or change in level at the first time point post-intervention and the post-intervention trend slope/trend (6). Similar to the pre-post comparison study, a control group can be added for improved internal validity (4). The key advantage of ITS designs over the pre- post design is that they evaluate for an intervention effect while accounting for pre-intervention trends.</w:t>
      </w:r>
    </w:p>
    <w:p w14:paraId="1F122626" w14:textId="631C6E9F"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539C0413" w14:textId="4055448B" w:rsidR="54837DBA" w:rsidRPr="00075B5A" w:rsidRDefault="0E9995AC" w:rsidP="006563F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Key advantages of such studies are feasibility, relative simplicity and it allows for the use of existing data (</w:t>
      </w:r>
      <w:r w:rsidR="00706923" w:rsidRPr="0E9995AC">
        <w:rPr>
          <w:rFonts w:ascii="Times New Roman" w:eastAsia="Arial" w:hAnsi="Times New Roman" w:cs="Times New Roman"/>
          <w:sz w:val="24"/>
          <w:szCs w:val="24"/>
        </w:rPr>
        <w:t>e.g.</w:t>
      </w:r>
      <w:r w:rsidRPr="0E9995AC">
        <w:rPr>
          <w:rFonts w:ascii="Times New Roman" w:eastAsia="Arial" w:hAnsi="Times New Roman" w:cs="Times New Roman"/>
          <w:sz w:val="24"/>
          <w:szCs w:val="24"/>
        </w:rPr>
        <w:t xml:space="preserve"> electronic medical record data (7)). The major limitation of the quasi-experimental design is the lack of random assignment. Hence, the assumptions of causality and internal validity can be threatened by regression to the mean, historical bias, maturation effects, selection bias (when selecting the non-dependent equivalent control) and unmeasured confounders (4-6, </w:t>
      </w:r>
      <w:commentRangeStart w:id="19"/>
      <w:r w:rsidRPr="0E9995AC">
        <w:rPr>
          <w:rFonts w:ascii="Times New Roman" w:eastAsia="Arial" w:hAnsi="Times New Roman" w:cs="Times New Roman"/>
          <w:sz w:val="24"/>
          <w:szCs w:val="24"/>
        </w:rPr>
        <w:t>8)</w:t>
      </w:r>
      <w:commentRangeEnd w:id="19"/>
      <w:r w:rsidR="54837DBA" w:rsidRPr="0E9995AC">
        <w:rPr>
          <w:rStyle w:val="CommentReference"/>
          <w:rFonts w:ascii="Times New Roman" w:eastAsia="Arial" w:hAnsi="Times New Roman" w:cs="Times New Roman"/>
          <w:sz w:val="24"/>
          <w:szCs w:val="24"/>
        </w:rPr>
        <w:commentReference w:id="19"/>
      </w:r>
      <w:r w:rsidRPr="0E9995AC">
        <w:rPr>
          <w:rFonts w:ascii="Times New Roman" w:eastAsia="Arial" w:hAnsi="Times New Roman" w:cs="Times New Roman"/>
          <w:sz w:val="24"/>
          <w:szCs w:val="24"/>
        </w:rPr>
        <w:t>.</w:t>
      </w:r>
      <w:r w:rsidR="001753AF">
        <w:rPr>
          <w:rFonts w:ascii="Times New Roman" w:eastAsia="Arial" w:hAnsi="Times New Roman" w:cs="Times New Roman"/>
          <w:sz w:val="24"/>
          <w:szCs w:val="24"/>
        </w:rPr>
        <w:t xml:space="preserve"> </w:t>
      </w:r>
      <w:r w:rsidR="00C6569B">
        <w:rPr>
          <w:rFonts w:ascii="Times New Roman" w:eastAsia="Arial" w:hAnsi="Times New Roman" w:cs="Times New Roman"/>
          <w:sz w:val="24"/>
          <w:szCs w:val="24"/>
        </w:rPr>
        <w:t>These concerns can be somewhat mitigated w</w:t>
      </w:r>
      <w:r w:rsidR="001753AF">
        <w:rPr>
          <w:rFonts w:ascii="Times New Roman" w:eastAsia="Arial" w:hAnsi="Times New Roman" w:cs="Times New Roman"/>
          <w:sz w:val="24"/>
          <w:szCs w:val="24"/>
        </w:rPr>
        <w:t xml:space="preserve">ith </w:t>
      </w:r>
      <w:r w:rsidR="00C6569B">
        <w:rPr>
          <w:rFonts w:ascii="Times New Roman" w:eastAsia="Arial" w:hAnsi="Times New Roman" w:cs="Times New Roman"/>
          <w:sz w:val="24"/>
          <w:szCs w:val="24"/>
        </w:rPr>
        <w:t>thoughtful</w:t>
      </w:r>
      <w:r w:rsidR="001753AF">
        <w:rPr>
          <w:rFonts w:ascii="Times New Roman" w:eastAsia="Arial" w:hAnsi="Times New Roman" w:cs="Times New Roman"/>
          <w:sz w:val="24"/>
          <w:szCs w:val="24"/>
        </w:rPr>
        <w:t xml:space="preserve"> </w:t>
      </w:r>
      <w:r w:rsidR="008E708D">
        <w:rPr>
          <w:rFonts w:ascii="Times New Roman" w:eastAsia="Arial" w:hAnsi="Times New Roman" w:cs="Times New Roman"/>
          <w:sz w:val="24"/>
          <w:szCs w:val="24"/>
        </w:rPr>
        <w:t xml:space="preserve">identification </w:t>
      </w:r>
      <w:r w:rsidR="008E708D">
        <w:rPr>
          <w:rFonts w:ascii="Times New Roman" w:eastAsia="Arial" w:hAnsi="Times New Roman" w:cs="Times New Roman"/>
          <w:sz w:val="24"/>
          <w:szCs w:val="24"/>
        </w:rPr>
        <w:lastRenderedPageBreak/>
        <w:t>of potential confounders</w:t>
      </w:r>
      <w:r w:rsidR="00C6569B">
        <w:rPr>
          <w:rFonts w:ascii="Times New Roman" w:eastAsia="Arial" w:hAnsi="Times New Roman" w:cs="Times New Roman"/>
          <w:sz w:val="24"/>
          <w:szCs w:val="24"/>
        </w:rPr>
        <w:t xml:space="preserve"> and</w:t>
      </w:r>
      <w:r w:rsidR="008E708D">
        <w:rPr>
          <w:rFonts w:ascii="Times New Roman" w:eastAsia="Arial" w:hAnsi="Times New Roman" w:cs="Times New Roman"/>
          <w:sz w:val="24"/>
          <w:szCs w:val="24"/>
        </w:rPr>
        <w:t xml:space="preserve"> appropriate statistical modeling</w:t>
      </w:r>
      <w:r w:rsidR="000B29D7">
        <w:rPr>
          <w:rFonts w:ascii="Times New Roman" w:eastAsia="Arial" w:hAnsi="Times New Roman" w:cs="Times New Roman"/>
          <w:sz w:val="24"/>
          <w:szCs w:val="24"/>
        </w:rPr>
        <w:t xml:space="preserve">. Unfortunately, very few clinical laboratory process improvement studies report data on </w:t>
      </w:r>
      <w:r w:rsidR="00336767">
        <w:rPr>
          <w:rFonts w:ascii="Times New Roman" w:eastAsia="Arial" w:hAnsi="Times New Roman" w:cs="Times New Roman"/>
          <w:sz w:val="24"/>
          <w:szCs w:val="24"/>
        </w:rPr>
        <w:t>confounding</w:t>
      </w:r>
      <w:r w:rsidR="000B29D7">
        <w:rPr>
          <w:rFonts w:ascii="Times New Roman" w:eastAsia="Arial" w:hAnsi="Times New Roman" w:cs="Times New Roman"/>
          <w:sz w:val="24"/>
          <w:szCs w:val="24"/>
        </w:rPr>
        <w:t>.</w:t>
      </w:r>
    </w:p>
    <w:p w14:paraId="2ED81A21" w14:textId="14191046"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70DD47E9" w14:textId="4DC2AA0F" w:rsidR="54837DBA" w:rsidRPr="00075B5A" w:rsidRDefault="54837DBA" w:rsidP="006563F6">
      <w:pPr>
        <w:spacing w:after="0" w:line="480" w:lineRule="auto"/>
        <w:rPr>
          <w:rFonts w:ascii="Times New Roman" w:eastAsia="Arial" w:hAnsi="Times New Roman" w:cs="Times New Roman"/>
          <w:sz w:val="24"/>
          <w:szCs w:val="24"/>
          <w:u w:val="single"/>
        </w:rPr>
      </w:pPr>
      <w:r w:rsidRPr="00075B5A">
        <w:rPr>
          <w:rFonts w:ascii="Times New Roman" w:eastAsia="Arial" w:hAnsi="Times New Roman" w:cs="Times New Roman"/>
          <w:sz w:val="24"/>
          <w:szCs w:val="24"/>
          <w:u w:val="single"/>
        </w:rPr>
        <w:t>Observational studies</w:t>
      </w:r>
    </w:p>
    <w:p w14:paraId="7C5F84D2" w14:textId="34FF1DA0"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Observational studies, where no intervention is carried out by the investigator, can be either analytical or descriptive. Analytical studies typically include a comparison (control) group, unlike descriptive studies (2). Analytical observational studies include cohort studies, case-control studies and cross-sectional studies.  </w:t>
      </w:r>
    </w:p>
    <w:p w14:paraId="1A76DCD4" w14:textId="5A54BCD0"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5EB2E1E4" w14:textId="17B1F8F6" w:rsidR="54837DBA" w:rsidRPr="00075B5A" w:rsidRDefault="0A805085" w:rsidP="006563F6">
      <w:pPr>
        <w:spacing w:after="0" w:line="480" w:lineRule="auto"/>
        <w:rPr>
          <w:rFonts w:ascii="Times New Roman" w:eastAsia="Arial" w:hAnsi="Times New Roman" w:cs="Times New Roman"/>
          <w:sz w:val="24"/>
          <w:szCs w:val="24"/>
        </w:rPr>
      </w:pPr>
      <w:r w:rsidRPr="0A805085">
        <w:rPr>
          <w:rFonts w:ascii="Times New Roman" w:eastAsia="Arial" w:hAnsi="Times New Roman" w:cs="Times New Roman"/>
          <w:sz w:val="24"/>
          <w:szCs w:val="24"/>
        </w:rPr>
        <w:t xml:space="preserve">Cohort studies are observational studies where a group (cohort) are followed from time of a defined exposure to an outcome </w:t>
      </w:r>
      <w:commentRangeStart w:id="20"/>
      <w:r w:rsidRPr="0A805085">
        <w:rPr>
          <w:rFonts w:ascii="Times New Roman" w:eastAsia="Arial" w:hAnsi="Times New Roman" w:cs="Times New Roman"/>
          <w:sz w:val="24"/>
          <w:szCs w:val="24"/>
        </w:rPr>
        <w:t>(9</w:t>
      </w:r>
      <w:commentRangeEnd w:id="20"/>
      <w:r w:rsidR="0F9F4D89" w:rsidRPr="0A805085">
        <w:rPr>
          <w:rStyle w:val="CommentReference"/>
          <w:rFonts w:ascii="Times New Roman" w:eastAsia="Arial" w:hAnsi="Times New Roman" w:cs="Times New Roman"/>
          <w:sz w:val="24"/>
          <w:szCs w:val="24"/>
        </w:rPr>
        <w:commentReference w:id="20"/>
      </w:r>
      <w:r w:rsidRPr="0A805085">
        <w:rPr>
          <w:rFonts w:ascii="Times New Roman" w:eastAsia="Arial" w:hAnsi="Times New Roman" w:cs="Times New Roman"/>
          <w:sz w:val="24"/>
          <w:szCs w:val="24"/>
        </w:rPr>
        <w:t>). The cohort can be followed prospectively or retrospectively. Cohort studies allow for determining the incidence and natural history of a condition (9). It enables calculation of true incidence rates, relative risks, and attributable risks and can be useful when multiple outcomes may occur after a single exposure or when studying a rare exposure (9). Case-control studies identify individuals with a specific outcome (cases) and compare them to those without the outcome (controls) to associated exposures (</w:t>
      </w:r>
      <w:commentRangeStart w:id="21"/>
      <w:r w:rsidRPr="0A805085">
        <w:rPr>
          <w:rFonts w:ascii="Times New Roman" w:eastAsia="Arial" w:hAnsi="Times New Roman" w:cs="Times New Roman"/>
          <w:sz w:val="24"/>
          <w:szCs w:val="24"/>
        </w:rPr>
        <w:t>10</w:t>
      </w:r>
      <w:commentRangeEnd w:id="21"/>
      <w:r w:rsidR="0F9F4D89" w:rsidRPr="0A805085">
        <w:rPr>
          <w:rStyle w:val="CommentReference"/>
          <w:rFonts w:ascii="Times New Roman" w:eastAsia="Arial" w:hAnsi="Times New Roman" w:cs="Times New Roman"/>
          <w:sz w:val="24"/>
          <w:szCs w:val="24"/>
        </w:rPr>
        <w:commentReference w:id="21"/>
      </w:r>
      <w:r w:rsidRPr="0A805085">
        <w:rPr>
          <w:rFonts w:ascii="Times New Roman" w:eastAsia="Arial" w:hAnsi="Times New Roman" w:cs="Times New Roman"/>
          <w:sz w:val="24"/>
          <w:szCs w:val="24"/>
        </w:rPr>
        <w:t>). Case control studies allow for rare exposures or outcomes to be studied and are efficient in the investigation of diseases that have a long latency period (10). Unlike cohort studies, case-controls do not allow for incidence rates, relative risks, or attributable risks to be calculated. Cross-sectional studies assess the prevalence of an outcome or characteristic in a population at a particular point in time (</w:t>
      </w:r>
      <w:commentRangeStart w:id="22"/>
      <w:r w:rsidRPr="0A805085">
        <w:rPr>
          <w:rFonts w:ascii="Times New Roman" w:eastAsia="Arial" w:hAnsi="Times New Roman" w:cs="Times New Roman"/>
          <w:sz w:val="24"/>
          <w:szCs w:val="24"/>
        </w:rPr>
        <w:t>11</w:t>
      </w:r>
      <w:commentRangeEnd w:id="22"/>
      <w:r w:rsidR="0F9F4D89" w:rsidRPr="0A805085">
        <w:rPr>
          <w:rStyle w:val="CommentReference"/>
          <w:rFonts w:ascii="Times New Roman" w:eastAsia="Arial" w:hAnsi="Times New Roman" w:cs="Times New Roman"/>
          <w:sz w:val="24"/>
          <w:szCs w:val="24"/>
        </w:rPr>
        <w:commentReference w:id="22"/>
      </w:r>
      <w:r w:rsidRPr="0A805085">
        <w:rPr>
          <w:rFonts w:ascii="Times New Roman" w:eastAsia="Arial" w:hAnsi="Times New Roman" w:cs="Times New Roman"/>
          <w:sz w:val="24"/>
          <w:szCs w:val="24"/>
        </w:rPr>
        <w:t xml:space="preserve">). </w:t>
      </w:r>
      <w:r w:rsidR="00C6569B">
        <w:rPr>
          <w:rFonts w:ascii="Times New Roman" w:eastAsia="Arial" w:hAnsi="Times New Roman" w:cs="Times New Roman"/>
          <w:sz w:val="24"/>
          <w:szCs w:val="24"/>
        </w:rPr>
        <w:t>I</w:t>
      </w:r>
      <w:r w:rsidRPr="0A805085">
        <w:rPr>
          <w:rFonts w:ascii="Times New Roman" w:eastAsia="Arial" w:hAnsi="Times New Roman" w:cs="Times New Roman"/>
          <w:sz w:val="24"/>
          <w:szCs w:val="24"/>
        </w:rPr>
        <w:t xml:space="preserve">ts major limitation is that cause-and-effect relationships cannot be assessed due to the lack of temporal data (2). </w:t>
      </w:r>
    </w:p>
    <w:p w14:paraId="2ED5DBC6" w14:textId="5AB84096"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4B15F1D2" w14:textId="794929B1" w:rsidR="54837DBA" w:rsidRPr="00075B5A" w:rsidRDefault="0A805085" w:rsidP="006563F6">
      <w:pPr>
        <w:spacing w:after="0" w:line="480" w:lineRule="auto"/>
        <w:rPr>
          <w:rFonts w:ascii="Times New Roman" w:eastAsia="Arial" w:hAnsi="Times New Roman" w:cs="Times New Roman"/>
          <w:sz w:val="24"/>
          <w:szCs w:val="24"/>
        </w:rPr>
      </w:pPr>
      <w:r w:rsidRPr="0A805085">
        <w:rPr>
          <w:rFonts w:ascii="Times New Roman" w:eastAsia="Arial" w:hAnsi="Times New Roman" w:cs="Times New Roman"/>
          <w:sz w:val="24"/>
          <w:szCs w:val="24"/>
        </w:rPr>
        <w:lastRenderedPageBreak/>
        <w:t>The main advantage</w:t>
      </w:r>
      <w:r w:rsidR="00924664">
        <w:rPr>
          <w:rFonts w:ascii="Times New Roman" w:eastAsia="Arial" w:hAnsi="Times New Roman" w:cs="Times New Roman"/>
          <w:sz w:val="24"/>
          <w:szCs w:val="24"/>
        </w:rPr>
        <w:t>s</w:t>
      </w:r>
      <w:r w:rsidRPr="0A805085">
        <w:rPr>
          <w:rFonts w:ascii="Times New Roman" w:eastAsia="Arial" w:hAnsi="Times New Roman" w:cs="Times New Roman"/>
          <w:sz w:val="24"/>
          <w:szCs w:val="24"/>
        </w:rPr>
        <w:t xml:space="preserve"> of observational studies are their feasibility and cost-effectiveness. In addition, observational studies allow examination exposures that cannot be randomized, i.e. for those which equipoise does not exist or where randomization to such an exposure may not be ethical (e.g. cigarette smoke). However, due to the observational nature of these studies, confounding remains a major concern. Analytical strategies can be used to try to account for confounding that is present in observational studies, although this is rarely done. There are more recent techniques</w:t>
      </w:r>
      <w:r w:rsidR="0051355A">
        <w:rPr>
          <w:rFonts w:ascii="Times New Roman" w:eastAsia="Arial" w:hAnsi="Times New Roman" w:cs="Times New Roman"/>
          <w:sz w:val="24"/>
          <w:szCs w:val="24"/>
        </w:rPr>
        <w:t xml:space="preserve"> to</w:t>
      </w:r>
      <w:r w:rsidRPr="0A805085">
        <w:rPr>
          <w:rFonts w:ascii="Times New Roman" w:eastAsia="Arial" w:hAnsi="Times New Roman" w:cs="Times New Roman"/>
          <w:sz w:val="24"/>
          <w:szCs w:val="24"/>
        </w:rPr>
        <w:t xml:space="preserve"> adjust for confounders</w:t>
      </w:r>
      <w:r w:rsidR="0051355A">
        <w:rPr>
          <w:rFonts w:ascii="Times New Roman" w:eastAsia="Arial" w:hAnsi="Times New Roman" w:cs="Times New Roman"/>
          <w:sz w:val="24"/>
          <w:szCs w:val="24"/>
        </w:rPr>
        <w:t xml:space="preserve">, such as </w:t>
      </w:r>
      <w:r w:rsidRPr="0A805085">
        <w:rPr>
          <w:rFonts w:ascii="Times New Roman" w:eastAsia="Arial" w:hAnsi="Times New Roman" w:cs="Times New Roman"/>
          <w:sz w:val="24"/>
          <w:szCs w:val="24"/>
        </w:rPr>
        <w:t>rational design of studies (</w:t>
      </w:r>
      <w:commentRangeStart w:id="23"/>
      <w:r w:rsidRPr="0A805085">
        <w:rPr>
          <w:rFonts w:ascii="Times New Roman" w:eastAsia="Arial" w:hAnsi="Times New Roman" w:cs="Times New Roman"/>
          <w:sz w:val="24"/>
          <w:szCs w:val="24"/>
        </w:rPr>
        <w:t>REF</w:t>
      </w:r>
      <w:commentRangeEnd w:id="23"/>
      <w:r w:rsidR="54837DBA" w:rsidRPr="0A805085">
        <w:rPr>
          <w:rStyle w:val="CommentReference"/>
          <w:rFonts w:ascii="Times New Roman" w:eastAsia="Arial" w:hAnsi="Times New Roman" w:cs="Times New Roman"/>
          <w:sz w:val="24"/>
          <w:szCs w:val="24"/>
        </w:rPr>
        <w:commentReference w:id="23"/>
      </w:r>
      <w:r w:rsidRPr="0A805085">
        <w:rPr>
          <w:rFonts w:ascii="Times New Roman" w:eastAsia="Arial" w:hAnsi="Times New Roman" w:cs="Times New Roman"/>
          <w:sz w:val="24"/>
          <w:szCs w:val="24"/>
        </w:rPr>
        <w:t>) with aid of a directed acyclic graph, use of regression techniques to adjust for important covariables, the use of a propensity score (</w:t>
      </w:r>
      <w:commentRangeStart w:id="24"/>
      <w:r w:rsidRPr="0A805085">
        <w:rPr>
          <w:rFonts w:ascii="Times New Roman" w:eastAsia="Arial" w:hAnsi="Times New Roman" w:cs="Times New Roman"/>
          <w:sz w:val="24"/>
          <w:szCs w:val="24"/>
        </w:rPr>
        <w:t>12</w:t>
      </w:r>
      <w:commentRangeEnd w:id="24"/>
      <w:r w:rsidR="54837DBA" w:rsidRPr="0A805085">
        <w:rPr>
          <w:rStyle w:val="CommentReference"/>
          <w:rFonts w:ascii="Times New Roman" w:eastAsia="Arial" w:hAnsi="Times New Roman" w:cs="Times New Roman"/>
          <w:sz w:val="24"/>
          <w:szCs w:val="24"/>
        </w:rPr>
        <w:commentReference w:id="24"/>
      </w:r>
      <w:r w:rsidRPr="0A805085">
        <w:rPr>
          <w:rFonts w:ascii="Times New Roman" w:eastAsia="Arial" w:hAnsi="Times New Roman" w:cs="Times New Roman"/>
          <w:sz w:val="24"/>
          <w:szCs w:val="24"/>
        </w:rPr>
        <w:t>) and a target trial emulation approach (</w:t>
      </w:r>
      <w:commentRangeStart w:id="25"/>
      <w:r w:rsidRPr="0A805085">
        <w:rPr>
          <w:rFonts w:ascii="Times New Roman" w:eastAsia="Arial" w:hAnsi="Times New Roman" w:cs="Times New Roman"/>
          <w:sz w:val="24"/>
          <w:szCs w:val="24"/>
        </w:rPr>
        <w:t>13</w:t>
      </w:r>
      <w:commentRangeEnd w:id="25"/>
      <w:r w:rsidR="54837DBA" w:rsidRPr="0A805085">
        <w:rPr>
          <w:rStyle w:val="CommentReference"/>
          <w:rFonts w:ascii="Times New Roman" w:eastAsia="Arial" w:hAnsi="Times New Roman" w:cs="Times New Roman"/>
          <w:sz w:val="24"/>
          <w:szCs w:val="24"/>
        </w:rPr>
        <w:commentReference w:id="25"/>
      </w:r>
      <w:r w:rsidRPr="0A805085">
        <w:rPr>
          <w:rFonts w:ascii="Times New Roman" w:eastAsia="Arial" w:hAnsi="Times New Roman" w:cs="Times New Roman"/>
          <w:sz w:val="24"/>
          <w:szCs w:val="24"/>
        </w:rPr>
        <w:t>).</w:t>
      </w:r>
      <w:r w:rsidR="0051355A">
        <w:rPr>
          <w:rFonts w:ascii="Times New Roman" w:eastAsia="Arial" w:hAnsi="Times New Roman" w:cs="Times New Roman"/>
          <w:sz w:val="24"/>
          <w:szCs w:val="24"/>
        </w:rPr>
        <w:t xml:space="preserve"> C</w:t>
      </w:r>
      <w:r w:rsidR="0051355A" w:rsidRPr="0A805085">
        <w:rPr>
          <w:rFonts w:ascii="Times New Roman" w:eastAsia="Arial" w:hAnsi="Times New Roman" w:cs="Times New Roman"/>
          <w:sz w:val="24"/>
          <w:szCs w:val="24"/>
        </w:rPr>
        <w:t>onsultation with a statistician may be helpful in applying appropriate methods.</w:t>
      </w:r>
    </w:p>
    <w:p w14:paraId="2981606B" w14:textId="578DBF9D"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041715EC" w14:textId="4B9C9E94" w:rsidR="54837DBA" w:rsidRPr="00075B5A" w:rsidRDefault="54837DBA" w:rsidP="006563F6">
      <w:pPr>
        <w:spacing w:after="0" w:line="480" w:lineRule="auto"/>
        <w:rPr>
          <w:rFonts w:ascii="Times New Roman" w:eastAsia="Arial" w:hAnsi="Times New Roman" w:cs="Times New Roman"/>
          <w:b/>
          <w:bCs/>
          <w:sz w:val="24"/>
          <w:szCs w:val="24"/>
        </w:rPr>
      </w:pPr>
      <w:r w:rsidRPr="00075B5A">
        <w:rPr>
          <w:rFonts w:ascii="Times New Roman" w:eastAsia="Arial" w:hAnsi="Times New Roman" w:cs="Times New Roman"/>
          <w:sz w:val="24"/>
          <w:szCs w:val="24"/>
        </w:rPr>
        <w:t xml:space="preserve">Ultimately the choice of study design is dictated by the study question, resources, and the balance of scientific rigor with practical constraints. </w:t>
      </w:r>
    </w:p>
    <w:p w14:paraId="431BB64D" w14:textId="198200E9" w:rsidR="54837DBA" w:rsidRPr="00075B5A" w:rsidRDefault="54837DBA" w:rsidP="006563F6">
      <w:pPr>
        <w:spacing w:after="0" w:line="480" w:lineRule="auto"/>
        <w:rPr>
          <w:rFonts w:ascii="Times New Roman" w:hAnsi="Times New Roman" w:cs="Times New Roman"/>
          <w:sz w:val="24"/>
          <w:szCs w:val="24"/>
        </w:rPr>
      </w:pPr>
    </w:p>
    <w:p w14:paraId="47262865" w14:textId="6E6B7C28" w:rsidR="54837DBA" w:rsidRPr="00075B5A" w:rsidRDefault="54837DBA" w:rsidP="006563F6">
      <w:pPr>
        <w:spacing w:after="0"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Table X. Clinical Outcomes Study Designs and Examples </w:t>
      </w:r>
    </w:p>
    <w:p w14:paraId="6091BA0B" w14:textId="08E34F15" w:rsidR="54837DBA" w:rsidRPr="00075B5A" w:rsidRDefault="54837DBA" w:rsidP="006563F6">
      <w:pPr>
        <w:spacing w:after="0"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 </w:t>
      </w:r>
    </w:p>
    <w:tbl>
      <w:tblPr>
        <w:tblStyle w:val="TableGrid"/>
        <w:tblW w:w="0" w:type="auto"/>
        <w:tblInd w:w="135" w:type="dxa"/>
        <w:tblLayout w:type="fixed"/>
        <w:tblLook w:val="04A0" w:firstRow="1" w:lastRow="0" w:firstColumn="1" w:lastColumn="0" w:noHBand="0" w:noVBand="1"/>
      </w:tblPr>
      <w:tblGrid>
        <w:gridCol w:w="2065"/>
        <w:gridCol w:w="5040"/>
        <w:gridCol w:w="2245"/>
      </w:tblGrid>
      <w:tr w:rsidR="54837DBA" w:rsidRPr="00075B5A" w14:paraId="2F82C27C"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0C568E85" w14:textId="400B3D48"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Study </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57E8CEB8" w14:textId="4C1672F6"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Design</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79D2E8CB" w14:textId="5E354AD0"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Example and/or review</w:t>
            </w:r>
          </w:p>
        </w:tc>
      </w:tr>
      <w:tr w:rsidR="54837DBA" w:rsidRPr="00075B5A" w14:paraId="7DFA73B5" w14:textId="77777777" w:rsidTr="00746428">
        <w:trPr>
          <w:trHeight w:val="300"/>
        </w:trPr>
        <w:tc>
          <w:tcPr>
            <w:tcW w:w="935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7AEDDAF" w14:textId="32817223"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Interventional </w:t>
            </w:r>
          </w:p>
        </w:tc>
      </w:tr>
      <w:tr w:rsidR="54837DBA" w:rsidRPr="00075B5A" w14:paraId="58C44615"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24D87E1E" w14:textId="65159F00"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Non-randomized interventional study</w:t>
            </w:r>
          </w:p>
        </w:tc>
        <w:tc>
          <w:tcPr>
            <w:tcW w:w="5040" w:type="dxa"/>
            <w:tcBorders>
              <w:top w:val="nil"/>
              <w:left w:val="single" w:sz="8" w:space="0" w:color="auto"/>
              <w:bottom w:val="single" w:sz="8" w:space="0" w:color="auto"/>
              <w:right w:val="single" w:sz="8" w:space="0" w:color="auto"/>
            </w:tcBorders>
            <w:tcMar>
              <w:left w:w="108" w:type="dxa"/>
              <w:right w:w="108" w:type="dxa"/>
            </w:tcMar>
          </w:tcPr>
          <w:p w14:paraId="42F52D42" w14:textId="3C4AAE22" w:rsidR="54837DBA" w:rsidRPr="00075B5A" w:rsidRDefault="54837DBA" w:rsidP="006563F6">
            <w:pPr>
              <w:spacing w:line="480" w:lineRule="auto"/>
              <w:rPr>
                <w:rFonts w:ascii="Times New Roman" w:eastAsia="Arial" w:hAnsi="Times New Roman" w:cs="Times New Roman"/>
                <w:color w:val="212529"/>
                <w:sz w:val="24"/>
                <w:szCs w:val="24"/>
              </w:rPr>
            </w:pPr>
            <w:r w:rsidRPr="00075B5A">
              <w:rPr>
                <w:rFonts w:ascii="Times New Roman" w:eastAsia="Arial" w:hAnsi="Times New Roman" w:cs="Times New Roman"/>
                <w:color w:val="212529"/>
                <w:sz w:val="24"/>
                <w:szCs w:val="24"/>
              </w:rPr>
              <w:t>Investigator assigns the exposure (intervention), and participants are assigned into an interventional group and a control group in a non-random fashion.</w:t>
            </w:r>
          </w:p>
        </w:tc>
        <w:tc>
          <w:tcPr>
            <w:tcW w:w="2245" w:type="dxa"/>
            <w:tcBorders>
              <w:top w:val="nil"/>
              <w:left w:val="single" w:sz="8" w:space="0" w:color="auto"/>
              <w:bottom w:val="single" w:sz="8" w:space="0" w:color="auto"/>
              <w:right w:val="single" w:sz="8" w:space="0" w:color="auto"/>
            </w:tcBorders>
            <w:tcMar>
              <w:left w:w="108" w:type="dxa"/>
              <w:right w:w="108" w:type="dxa"/>
            </w:tcMar>
          </w:tcPr>
          <w:p w14:paraId="1A46EB72" w14:textId="7F0A390E" w:rsidR="54837DBA" w:rsidRPr="00075B5A" w:rsidRDefault="0046649A" w:rsidP="006563F6">
            <w:pPr>
              <w:shd w:val="clear" w:color="auto" w:fill="FFFFFF" w:themeFill="background1"/>
              <w:spacing w:line="480" w:lineRule="auto"/>
              <w:rPr>
                <w:rFonts w:ascii="Times New Roman" w:eastAsia="Segoe UI" w:hAnsi="Times New Roman" w:cs="Times New Roman"/>
                <w:color w:val="212121"/>
                <w:sz w:val="24"/>
                <w:szCs w:val="24"/>
              </w:rPr>
            </w:pPr>
            <w:r w:rsidRPr="00075B5A">
              <w:rPr>
                <w:rFonts w:ascii="Times New Roman" w:eastAsia="Arial" w:hAnsi="Times New Roman" w:cs="Times New Roman"/>
                <w:sz w:val="24"/>
                <w:szCs w:val="24"/>
              </w:rPr>
              <w:t xml:space="preserve">Example </w:t>
            </w:r>
            <w:r w:rsidR="43232C37" w:rsidRPr="00075B5A">
              <w:rPr>
                <w:rFonts w:ascii="Times New Roman" w:eastAsia="Segoe UI" w:hAnsi="Times New Roman" w:cs="Times New Roman"/>
                <w:color w:val="212121"/>
                <w:sz w:val="24"/>
                <w:szCs w:val="24"/>
              </w:rPr>
              <w:t>PMID: 34620213</w:t>
            </w:r>
          </w:p>
          <w:p w14:paraId="2A8296B4" w14:textId="1B53F69B" w:rsidR="54837DBA" w:rsidRPr="00075B5A" w:rsidRDefault="54837DBA" w:rsidP="006563F6">
            <w:pPr>
              <w:spacing w:line="480" w:lineRule="auto"/>
              <w:rPr>
                <w:rFonts w:ascii="Times New Roman" w:eastAsia="Arial" w:hAnsi="Times New Roman" w:cs="Times New Roman"/>
                <w:sz w:val="24"/>
                <w:szCs w:val="24"/>
              </w:rPr>
            </w:pPr>
          </w:p>
        </w:tc>
      </w:tr>
      <w:tr w:rsidR="54837DBA" w:rsidRPr="00075B5A" w14:paraId="31749629"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1499CC4" w14:textId="1C12279B"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lastRenderedPageBreak/>
              <w:t>Parallel group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7AB3F92" w14:textId="5EC134D5" w:rsidR="54837DBA" w:rsidRPr="00075B5A" w:rsidRDefault="54837DBA" w:rsidP="006563F6">
            <w:pPr>
              <w:spacing w:line="480" w:lineRule="auto"/>
              <w:rPr>
                <w:rFonts w:ascii="Times New Roman" w:eastAsia="Arial" w:hAnsi="Times New Roman" w:cs="Times New Roman"/>
                <w:color w:val="212529"/>
                <w:sz w:val="24"/>
                <w:szCs w:val="24"/>
              </w:rPr>
            </w:pPr>
            <w:r w:rsidRPr="00075B5A">
              <w:rPr>
                <w:rFonts w:ascii="Times New Roman" w:eastAsia="Arial" w:hAnsi="Times New Roman" w:cs="Times New Roman"/>
                <w:color w:val="212529"/>
                <w:sz w:val="24"/>
                <w:szCs w:val="24"/>
              </w:rPr>
              <w:t xml:space="preserve">Individuals or groups are randomized to study arms and individual observations are analyzed to evaluate the effect of an intervention </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73D7827D" w14:textId="3F42AAE5"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Example PMID: </w:t>
            </w:r>
            <w:r w:rsidR="0046649A" w:rsidRPr="00075B5A">
              <w:rPr>
                <w:rFonts w:ascii="Times New Roman" w:eastAsia="Arial" w:hAnsi="Times New Roman" w:cs="Times New Roman"/>
                <w:sz w:val="24"/>
                <w:szCs w:val="24"/>
              </w:rPr>
              <w:t>10579608</w:t>
            </w:r>
          </w:p>
        </w:tc>
      </w:tr>
      <w:tr w:rsidR="54837DBA" w:rsidRPr="00075B5A" w14:paraId="296F4C7E" w14:textId="77777777" w:rsidTr="00746428">
        <w:trPr>
          <w:trHeight w:val="1155"/>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65D6724" w14:textId="59F55C17" w:rsidR="54837DBA" w:rsidRPr="00075B5A" w:rsidRDefault="54837DBA" w:rsidP="006563F6">
            <w:pPr>
              <w:spacing w:line="480" w:lineRule="auto"/>
              <w:rPr>
                <w:rFonts w:ascii="Times New Roman" w:eastAsia="Arial" w:hAnsi="Times New Roman" w:cs="Times New Roman"/>
                <w:b/>
                <w:bCs/>
                <w:color w:val="202122"/>
                <w:sz w:val="24"/>
                <w:szCs w:val="24"/>
              </w:rPr>
            </w:pPr>
            <w:r w:rsidRPr="00075B5A">
              <w:rPr>
                <w:rFonts w:ascii="Times New Roman" w:eastAsia="Arial" w:hAnsi="Times New Roman" w:cs="Times New Roman"/>
                <w:b/>
                <w:bCs/>
                <w:color w:val="202122"/>
                <w:sz w:val="24"/>
                <w:szCs w:val="24"/>
              </w:rPr>
              <w:t>Crossover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88C3601" w14:textId="23E009A0" w:rsidR="54837DBA" w:rsidRPr="00075B5A" w:rsidRDefault="54837DBA" w:rsidP="006563F6">
            <w:pPr>
              <w:spacing w:line="480" w:lineRule="auto"/>
              <w:rPr>
                <w:rFonts w:ascii="Times New Roman" w:eastAsia="Arial" w:hAnsi="Times New Roman" w:cs="Times New Roman"/>
                <w:color w:val="202122"/>
                <w:sz w:val="24"/>
                <w:szCs w:val="24"/>
              </w:rPr>
            </w:pPr>
            <w:r w:rsidRPr="00075B5A">
              <w:rPr>
                <w:rFonts w:ascii="Times New Roman" w:eastAsia="Arial" w:hAnsi="Times New Roman" w:cs="Times New Roman"/>
                <w:color w:val="202122"/>
                <w:sz w:val="24"/>
                <w:szCs w:val="24"/>
              </w:rPr>
              <w:t>Participant</w:t>
            </w:r>
            <w:r w:rsidR="0010498F" w:rsidRPr="00075B5A">
              <w:rPr>
                <w:rFonts w:ascii="Times New Roman" w:eastAsia="Arial" w:hAnsi="Times New Roman" w:cs="Times New Roman"/>
                <w:color w:val="202122"/>
                <w:sz w:val="24"/>
                <w:szCs w:val="24"/>
              </w:rPr>
              <w:t>s</w:t>
            </w:r>
            <w:r w:rsidRPr="00075B5A">
              <w:rPr>
                <w:rFonts w:ascii="Times New Roman" w:eastAsia="Arial" w:hAnsi="Times New Roman" w:cs="Times New Roman"/>
                <w:color w:val="202122"/>
                <w:sz w:val="24"/>
                <w:szCs w:val="24"/>
              </w:rPr>
              <w:t xml:space="preserve"> are randomized to the same two or more sequential interventions. This can allow for participant</w:t>
            </w:r>
            <w:r w:rsidR="0010498F" w:rsidRPr="00075B5A">
              <w:rPr>
                <w:rFonts w:ascii="Times New Roman" w:eastAsia="Arial" w:hAnsi="Times New Roman" w:cs="Times New Roman"/>
                <w:color w:val="202122"/>
                <w:sz w:val="24"/>
                <w:szCs w:val="24"/>
              </w:rPr>
              <w:t>s</w:t>
            </w:r>
            <w:r w:rsidRPr="00075B5A">
              <w:rPr>
                <w:rFonts w:ascii="Times New Roman" w:eastAsia="Arial" w:hAnsi="Times New Roman" w:cs="Times New Roman"/>
                <w:color w:val="202122"/>
                <w:sz w:val="24"/>
                <w:szCs w:val="24"/>
              </w:rPr>
              <w:t xml:space="preserve"> to serve as their own control. The order in which they receive them depends on the group to which they are randomized to.</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2D33D885" w14:textId="7BA2DE91" w:rsidR="54837DBA" w:rsidRPr="00075B5A" w:rsidRDefault="54837DBA" w:rsidP="006563F6">
            <w:pPr>
              <w:shd w:val="clear" w:color="auto" w:fill="FFFFFF" w:themeFill="background1"/>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Example PMID: 28847326</w:t>
            </w:r>
          </w:p>
          <w:p w14:paraId="72B5620D" w14:textId="4D43E544" w:rsidR="54837DBA" w:rsidRPr="00075B5A" w:rsidRDefault="54837DBA" w:rsidP="006563F6">
            <w:pPr>
              <w:spacing w:line="480" w:lineRule="auto"/>
              <w:rPr>
                <w:rFonts w:ascii="Times New Roman" w:eastAsia="Arial" w:hAnsi="Times New Roman" w:cs="Times New Roman"/>
                <w:sz w:val="24"/>
                <w:szCs w:val="24"/>
              </w:rPr>
            </w:pPr>
          </w:p>
        </w:tc>
      </w:tr>
      <w:tr w:rsidR="54837DBA" w:rsidRPr="00075B5A" w14:paraId="0CA85688"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371A8493" w14:textId="0688D5F4"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Cluster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4C041810" w14:textId="3D7FD368" w:rsidR="54837DBA" w:rsidRPr="00075B5A" w:rsidRDefault="54837DBA" w:rsidP="006563F6">
            <w:pPr>
              <w:spacing w:line="480" w:lineRule="auto"/>
              <w:rPr>
                <w:rFonts w:ascii="Times New Roman" w:eastAsia="Arial" w:hAnsi="Times New Roman" w:cs="Times New Roman"/>
                <w:color w:val="202122"/>
                <w:sz w:val="24"/>
                <w:szCs w:val="24"/>
              </w:rPr>
            </w:pPr>
            <w:r w:rsidRPr="00075B5A">
              <w:rPr>
                <w:rFonts w:ascii="Times New Roman" w:eastAsia="Arial" w:hAnsi="Times New Roman" w:cs="Times New Roman"/>
                <w:color w:val="202122"/>
                <w:sz w:val="24"/>
                <w:szCs w:val="24"/>
              </w:rPr>
              <w:t xml:space="preserve">Groups (or clusters) are randomized to study arms to evaluate the effect of an intervention. </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3041DC56" w14:textId="7FABE5B0"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Example PMID: 21765808 </w:t>
            </w:r>
          </w:p>
        </w:tc>
      </w:tr>
      <w:tr w:rsidR="54837DBA" w:rsidRPr="00075B5A" w14:paraId="58AB13FB"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6F52B271" w14:textId="0AB5FA7B"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Stepwedged Cluster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2AB0E12C" w14:textId="64A1CE5E" w:rsidR="54837DBA" w:rsidRPr="00075B5A" w:rsidRDefault="54837DBA" w:rsidP="006563F6">
            <w:pPr>
              <w:spacing w:line="480" w:lineRule="auto"/>
              <w:rPr>
                <w:rFonts w:ascii="Times New Roman" w:eastAsia="Arial" w:hAnsi="Times New Roman" w:cs="Times New Roman"/>
                <w:color w:val="212529"/>
                <w:sz w:val="24"/>
                <w:szCs w:val="24"/>
              </w:rPr>
            </w:pPr>
            <w:r w:rsidRPr="00075B5A">
              <w:rPr>
                <w:rFonts w:ascii="Times New Roman" w:eastAsia="Arial" w:hAnsi="Times New Roman" w:cs="Times New Roman"/>
                <w:color w:val="212529"/>
                <w:sz w:val="24"/>
                <w:szCs w:val="24"/>
              </w:rPr>
              <w:t>Groups or clusters begin the study in the control condition, are randomly assigned to sequences, and cross-over to the intervention condition at pre-determined time points in a sequential, staggered fashion until all groups or clusters receive the intervention</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7177F45F" w14:textId="009791BE"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Example PMID: </w:t>
            </w:r>
            <w:r w:rsidR="0046649A" w:rsidRPr="00075B5A">
              <w:rPr>
                <w:rFonts w:ascii="Times New Roman" w:eastAsia="Arial" w:hAnsi="Times New Roman" w:cs="Times New Roman"/>
                <w:sz w:val="24"/>
                <w:szCs w:val="24"/>
              </w:rPr>
              <w:t>39658862</w:t>
            </w:r>
          </w:p>
        </w:tc>
      </w:tr>
      <w:tr w:rsidR="54837DBA" w:rsidRPr="00075B5A" w14:paraId="1207708C"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567BC6A5" w14:textId="00B73650"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Factorial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11CC2F94" w14:textId="5F23F439" w:rsidR="54837DBA" w:rsidRPr="00075B5A" w:rsidRDefault="54837DBA" w:rsidP="006563F6">
            <w:pPr>
              <w:spacing w:line="480" w:lineRule="auto"/>
              <w:rPr>
                <w:rFonts w:ascii="Times New Roman" w:eastAsia="Arial" w:hAnsi="Times New Roman" w:cs="Times New Roman"/>
                <w:color w:val="202122"/>
                <w:sz w:val="24"/>
                <w:szCs w:val="24"/>
              </w:rPr>
            </w:pPr>
            <w:r w:rsidRPr="00075B5A">
              <w:rPr>
                <w:rFonts w:ascii="Times New Roman" w:eastAsia="Arial" w:hAnsi="Times New Roman" w:cs="Times New Roman"/>
                <w:color w:val="202122"/>
                <w:sz w:val="24"/>
                <w:szCs w:val="24"/>
              </w:rPr>
              <w:t>Each participant is randomly assigned to a group that receives a particular combination of interventions or non-interventions which allows concurrent evaluation of multiple interventions</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0D1C8942" w14:textId="389F0811"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36070710</w:t>
            </w:r>
          </w:p>
          <w:p w14:paraId="6FB7FCC8" w14:textId="051D2C7C" w:rsidR="54837DBA" w:rsidRPr="00075B5A" w:rsidRDefault="54837DBA" w:rsidP="006563F6">
            <w:pPr>
              <w:spacing w:line="480" w:lineRule="auto"/>
              <w:rPr>
                <w:rFonts w:ascii="Times New Roman" w:eastAsia="Arial" w:hAnsi="Times New Roman" w:cs="Times New Roman"/>
                <w:sz w:val="24"/>
                <w:szCs w:val="24"/>
              </w:rPr>
            </w:pPr>
          </w:p>
        </w:tc>
      </w:tr>
      <w:tr w:rsidR="54837DBA" w:rsidRPr="00075B5A" w14:paraId="5D74452F"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6B8D013A" w14:textId="5C5A1BB0"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Sequential Multiple Assignment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10FB2E3A" w14:textId="6531B076" w:rsidR="54837DBA" w:rsidRPr="00075B5A" w:rsidRDefault="54837DBA" w:rsidP="006563F6">
            <w:pPr>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 xml:space="preserve">A multi-stage, factorial, randomized trial, in which some or all participants are randomized at two or more decision points. Whether a patient is </w:t>
            </w:r>
            <w:r w:rsidRPr="00075B5A">
              <w:rPr>
                <w:rFonts w:ascii="Times New Roman" w:eastAsia="Arial" w:hAnsi="Times New Roman" w:cs="Times New Roman"/>
                <w:color w:val="212121"/>
                <w:sz w:val="24"/>
                <w:szCs w:val="24"/>
              </w:rPr>
              <w:lastRenderedPageBreak/>
              <w:t>randomized at the second or later decision point, and the available treatment options, may depend on the patient’s response to prior treatment.</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38082C54" w14:textId="70ABC635"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lastRenderedPageBreak/>
              <w:t>Example PMID: 32690063</w:t>
            </w:r>
          </w:p>
          <w:p w14:paraId="3A6431E8" w14:textId="2969BEBF"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tc>
      </w:tr>
      <w:tr w:rsidR="54837DBA" w:rsidRPr="00075B5A" w14:paraId="47FB2511"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B8B7175" w14:textId="45879CA3"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Adaptive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3CB3F33D" w14:textId="605D1213" w:rsidR="54837DBA" w:rsidRPr="00075B5A" w:rsidRDefault="54837DBA" w:rsidP="006563F6">
            <w:pPr>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A trial which incorporates changes as the study proceeds, such as modifying allocation probabilities or eliminating treatment arms that are likely to be ineffective.</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0016001A" w14:textId="09CCD0D3"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33413494</w:t>
            </w:r>
          </w:p>
          <w:p w14:paraId="47996AE2" w14:textId="7D684EC8"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tc>
      </w:tr>
      <w:tr w:rsidR="54837DBA" w:rsidRPr="00075B5A" w14:paraId="693787E7"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36FE4A07" w14:textId="67CCECAD"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Platform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7EA9A2FB" w14:textId="23BB8BAE" w:rsidR="54837DBA" w:rsidRPr="00075B5A" w:rsidRDefault="54837DBA" w:rsidP="006563F6">
            <w:pPr>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A multiple-arm trial with the potential to include additional interventional arms that can be opened or closed for enrollment throughout the course of the trial based on decision rules regarding efficacy</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4E7B6B9B" w14:textId="089E63AA"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32876697</w:t>
            </w:r>
          </w:p>
          <w:p w14:paraId="15E2425C" w14:textId="62E7F77E" w:rsidR="54837DBA" w:rsidRPr="00075B5A" w:rsidRDefault="54837DBA" w:rsidP="006563F6">
            <w:pPr>
              <w:spacing w:line="480" w:lineRule="auto"/>
              <w:rPr>
                <w:rFonts w:ascii="Times New Roman" w:eastAsia="Arial" w:hAnsi="Times New Roman" w:cs="Times New Roman"/>
                <w:sz w:val="24"/>
                <w:szCs w:val="24"/>
              </w:rPr>
            </w:pPr>
          </w:p>
        </w:tc>
      </w:tr>
      <w:tr w:rsidR="54837DBA" w:rsidRPr="00075B5A" w14:paraId="12A1DA79" w14:textId="77777777" w:rsidTr="00746428">
        <w:trPr>
          <w:trHeight w:val="300"/>
        </w:trPr>
        <w:tc>
          <w:tcPr>
            <w:tcW w:w="935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CAACF9E" w14:textId="3C295F7A"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Quasi-experimental Studies</w:t>
            </w:r>
          </w:p>
        </w:tc>
      </w:tr>
      <w:tr w:rsidR="54837DBA" w:rsidRPr="00075B5A" w14:paraId="4CF22A6F"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3FB7481D" w14:textId="6A1D670B"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Pre-Post </w:t>
            </w:r>
            <w:r w:rsidR="00872645" w:rsidRPr="00075B5A">
              <w:rPr>
                <w:rFonts w:ascii="Times New Roman" w:eastAsia="Arial" w:hAnsi="Times New Roman" w:cs="Times New Roman"/>
                <w:b/>
                <w:bCs/>
                <w:sz w:val="24"/>
                <w:szCs w:val="24"/>
              </w:rPr>
              <w:t>T</w:t>
            </w:r>
            <w:r w:rsidRPr="00075B5A">
              <w:rPr>
                <w:rFonts w:ascii="Times New Roman" w:eastAsia="Arial" w:hAnsi="Times New Roman" w:cs="Times New Roman"/>
                <w:b/>
                <w:bCs/>
                <w:sz w:val="24"/>
                <w:szCs w:val="24"/>
              </w:rPr>
              <w:t xml:space="preserve">est Design </w:t>
            </w:r>
          </w:p>
        </w:tc>
        <w:tc>
          <w:tcPr>
            <w:tcW w:w="5040" w:type="dxa"/>
            <w:tcBorders>
              <w:top w:val="nil"/>
              <w:left w:val="single" w:sz="8" w:space="0" w:color="auto"/>
              <w:bottom w:val="single" w:sz="8" w:space="0" w:color="auto"/>
              <w:right w:val="single" w:sz="8" w:space="0" w:color="auto"/>
            </w:tcBorders>
            <w:tcMar>
              <w:left w:w="108" w:type="dxa"/>
              <w:right w:w="108" w:type="dxa"/>
            </w:tcMar>
          </w:tcPr>
          <w:p w14:paraId="2226A5C7" w14:textId="0EA7230F"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A study design where data is collected before and after an intervention is introduced and then</w:t>
            </w:r>
            <w:r w:rsidR="00414220" w:rsidRPr="00075B5A">
              <w:rPr>
                <w:rFonts w:ascii="Times New Roman" w:eastAsia="Arial" w:hAnsi="Times New Roman" w:cs="Times New Roman"/>
                <w:sz w:val="24"/>
                <w:szCs w:val="24"/>
              </w:rPr>
              <w:t xml:space="preserve"> </w:t>
            </w:r>
            <w:r w:rsidRPr="00075B5A">
              <w:rPr>
                <w:rFonts w:ascii="Times New Roman" w:eastAsia="Arial" w:hAnsi="Times New Roman" w:cs="Times New Roman"/>
                <w:sz w:val="24"/>
                <w:szCs w:val="24"/>
              </w:rPr>
              <w:t>compared.  A control group can be added for a Pre-Post Design with a Non-Equivalent control group</w:t>
            </w:r>
          </w:p>
        </w:tc>
        <w:tc>
          <w:tcPr>
            <w:tcW w:w="2245" w:type="dxa"/>
            <w:tcBorders>
              <w:top w:val="nil"/>
              <w:left w:val="single" w:sz="8" w:space="0" w:color="auto"/>
              <w:bottom w:val="single" w:sz="8" w:space="0" w:color="auto"/>
              <w:right w:val="single" w:sz="8" w:space="0" w:color="auto"/>
            </w:tcBorders>
            <w:tcMar>
              <w:left w:w="108" w:type="dxa"/>
              <w:right w:w="108" w:type="dxa"/>
            </w:tcMar>
          </w:tcPr>
          <w:p w14:paraId="3A4A2925" w14:textId="6AB6B880"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r w:rsidR="003940E5" w:rsidRPr="00075B5A">
              <w:rPr>
                <w:rFonts w:ascii="Times New Roman" w:eastAsia="Arial" w:hAnsi="Times New Roman" w:cs="Times New Roman"/>
                <w:sz w:val="24"/>
                <w:szCs w:val="24"/>
              </w:rPr>
              <w:t>Example PMID: 26927722</w:t>
            </w:r>
          </w:p>
        </w:tc>
      </w:tr>
      <w:tr w:rsidR="54837DBA" w:rsidRPr="00075B5A" w14:paraId="10DED49D"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8B94961" w14:textId="13115B9B"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Interrupted </w:t>
            </w:r>
            <w:r w:rsidR="008C694B" w:rsidRPr="00075B5A">
              <w:rPr>
                <w:rFonts w:ascii="Times New Roman" w:eastAsia="Arial" w:hAnsi="Times New Roman" w:cs="Times New Roman"/>
                <w:b/>
                <w:bCs/>
                <w:sz w:val="24"/>
                <w:szCs w:val="24"/>
              </w:rPr>
              <w:t>T</w:t>
            </w:r>
            <w:r w:rsidRPr="00075B5A">
              <w:rPr>
                <w:rFonts w:ascii="Times New Roman" w:eastAsia="Arial" w:hAnsi="Times New Roman" w:cs="Times New Roman"/>
                <w:b/>
                <w:bCs/>
                <w:sz w:val="24"/>
                <w:szCs w:val="24"/>
              </w:rPr>
              <w:t xml:space="preserve">ime </w:t>
            </w:r>
            <w:r w:rsidR="008C694B" w:rsidRPr="00075B5A">
              <w:rPr>
                <w:rFonts w:ascii="Times New Roman" w:eastAsia="Arial" w:hAnsi="Times New Roman" w:cs="Times New Roman"/>
                <w:b/>
                <w:bCs/>
                <w:sz w:val="24"/>
                <w:szCs w:val="24"/>
              </w:rPr>
              <w:t>S</w:t>
            </w:r>
            <w:r w:rsidRPr="00075B5A">
              <w:rPr>
                <w:rFonts w:ascii="Times New Roman" w:eastAsia="Arial" w:hAnsi="Times New Roman" w:cs="Times New Roman"/>
                <w:b/>
                <w:bCs/>
                <w:sz w:val="24"/>
                <w:szCs w:val="24"/>
              </w:rPr>
              <w:t xml:space="preserve">eries  </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D7151FA" w14:textId="036C1967" w:rsidR="54837DBA" w:rsidRPr="00075B5A" w:rsidRDefault="54837DBA" w:rsidP="006563F6">
            <w:pPr>
              <w:tabs>
                <w:tab w:val="left" w:pos="422"/>
              </w:tabs>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Multiple observations are evaluated for several consecutive points in time before and after intervention within the same individual or group</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027FA9E1" w14:textId="49342FB8" w:rsidR="54837DBA" w:rsidRPr="00075B5A" w:rsidRDefault="54837DBA" w:rsidP="006563F6">
            <w:pPr>
              <w:shd w:val="clear" w:color="auto" w:fill="FFFFFF" w:themeFill="background1"/>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Example PMID: 37534438</w:t>
            </w:r>
          </w:p>
          <w:p w14:paraId="08C277F7" w14:textId="56D4EB0D"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tc>
      </w:tr>
      <w:tr w:rsidR="54837DBA" w:rsidRPr="00075B5A" w14:paraId="1303539F" w14:textId="77777777" w:rsidTr="00746428">
        <w:trPr>
          <w:trHeight w:val="300"/>
        </w:trPr>
        <w:tc>
          <w:tcPr>
            <w:tcW w:w="935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925A728" w14:textId="6825503F"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Observational</w:t>
            </w:r>
          </w:p>
        </w:tc>
      </w:tr>
      <w:tr w:rsidR="54837DBA" w:rsidRPr="00075B5A" w14:paraId="01499E06"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064BB7D" w14:textId="38266332"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lastRenderedPageBreak/>
              <w:t xml:space="preserve">Cohort </w:t>
            </w:r>
          </w:p>
        </w:tc>
        <w:tc>
          <w:tcPr>
            <w:tcW w:w="5040" w:type="dxa"/>
            <w:tcBorders>
              <w:top w:val="nil"/>
              <w:left w:val="single" w:sz="8" w:space="0" w:color="auto"/>
              <w:bottom w:val="single" w:sz="8" w:space="0" w:color="auto"/>
              <w:right w:val="single" w:sz="8" w:space="0" w:color="auto"/>
            </w:tcBorders>
            <w:tcMar>
              <w:left w:w="108" w:type="dxa"/>
              <w:right w:w="108" w:type="dxa"/>
            </w:tcMar>
          </w:tcPr>
          <w:p w14:paraId="60C0C8DA" w14:textId="529D80D5"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A cohort is followed (either prospectively or retrospectively) from a defined exposure to an outcome.</w:t>
            </w:r>
          </w:p>
        </w:tc>
        <w:tc>
          <w:tcPr>
            <w:tcW w:w="2245" w:type="dxa"/>
            <w:tcBorders>
              <w:top w:val="nil"/>
              <w:left w:val="single" w:sz="8" w:space="0" w:color="auto"/>
              <w:bottom w:val="single" w:sz="8" w:space="0" w:color="auto"/>
              <w:right w:val="single" w:sz="8" w:space="0" w:color="auto"/>
            </w:tcBorders>
            <w:tcMar>
              <w:left w:w="108" w:type="dxa"/>
              <w:right w:w="108" w:type="dxa"/>
            </w:tcMar>
          </w:tcPr>
          <w:p w14:paraId="07192530" w14:textId="7F01974B"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33333013</w:t>
            </w:r>
          </w:p>
        </w:tc>
      </w:tr>
      <w:tr w:rsidR="54837DBA" w:rsidRPr="00075B5A" w14:paraId="2C04437D"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13E8AD3D" w14:textId="0C16B968"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Case-control </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551B078" w14:textId="5AA548F7" w:rsidR="54837DBA" w:rsidRPr="00075B5A" w:rsidRDefault="008C694B"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Compare i</w:t>
            </w:r>
            <w:r w:rsidR="54837DBA" w:rsidRPr="00075B5A">
              <w:rPr>
                <w:rFonts w:ascii="Times New Roman" w:eastAsia="Arial" w:hAnsi="Times New Roman" w:cs="Times New Roman"/>
                <w:sz w:val="24"/>
                <w:szCs w:val="24"/>
              </w:rPr>
              <w:t xml:space="preserve">ndividuals with a specific outcome (cases) and to those without the outcome (controls) to identify associated exposures. </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3F5287A0" w14:textId="26530D73"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36213134</w:t>
            </w:r>
          </w:p>
        </w:tc>
      </w:tr>
      <w:tr w:rsidR="54837DBA" w:rsidRPr="00075B5A" w14:paraId="6DCE2981"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3A0E0C53" w14:textId="0B7B4C47"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Cross-sectional </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BC789DD" w14:textId="7A71EF01"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Measures the prevalence of an outcome or characteristic in a population at </w:t>
            </w:r>
          </w:p>
          <w:p w14:paraId="3112BABE" w14:textId="7BFD821E"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at defined point in time  </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0D045D21" w14:textId="54ADC0E7"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Example PMID  </w:t>
            </w:r>
            <w:r w:rsidRPr="00075B5A">
              <w:rPr>
                <w:rFonts w:ascii="Times New Roman" w:eastAsia="Times New Roman" w:hAnsi="Times New Roman" w:cs="Times New Roman"/>
                <w:sz w:val="24"/>
                <w:szCs w:val="24"/>
              </w:rPr>
              <w:t xml:space="preserve"> </w:t>
            </w:r>
            <w:r w:rsidRPr="00075B5A">
              <w:rPr>
                <w:rFonts w:ascii="Times New Roman" w:eastAsia="Arial" w:hAnsi="Times New Roman" w:cs="Times New Roman"/>
                <w:sz w:val="24"/>
                <w:szCs w:val="24"/>
              </w:rPr>
              <w:t>PMID: 37285151</w:t>
            </w:r>
          </w:p>
        </w:tc>
      </w:tr>
    </w:tbl>
    <w:p w14:paraId="21EE6E15" w14:textId="056736C0" w:rsidR="54837DBA" w:rsidRDefault="54837DBA" w:rsidP="006563F6">
      <w:pPr>
        <w:spacing w:after="0" w:line="480" w:lineRule="auto"/>
        <w:rPr>
          <w:rFonts w:ascii="Times New Roman" w:hAnsi="Times New Roman" w:cs="Times New Roman"/>
          <w:sz w:val="24"/>
          <w:szCs w:val="24"/>
        </w:rPr>
      </w:pPr>
    </w:p>
    <w:p w14:paraId="5D3ACB8C" w14:textId="79B22135" w:rsidR="00CC4336" w:rsidRPr="00075B5A" w:rsidRDefault="00CC4336" w:rsidP="00CC4336">
      <w:pPr>
        <w:spacing w:after="0" w:line="480" w:lineRule="auto"/>
        <w:rPr>
          <w:rFonts w:ascii="Times New Roman" w:eastAsia="Arial" w:hAnsi="Times New Roman" w:cs="Times New Roman"/>
          <w:b/>
          <w:sz w:val="24"/>
          <w:szCs w:val="24"/>
        </w:rPr>
      </w:pPr>
      <w:r w:rsidRPr="00075B5A">
        <w:rPr>
          <w:rFonts w:ascii="Times New Roman" w:eastAsia="Arial" w:hAnsi="Times New Roman" w:cs="Times New Roman"/>
          <w:b/>
          <w:sz w:val="24"/>
          <w:szCs w:val="24"/>
        </w:rPr>
        <w:t>Recognizing and addressing limitations of the study</w:t>
      </w:r>
    </w:p>
    <w:p w14:paraId="339FA203" w14:textId="77777777" w:rsidR="00CC4336" w:rsidRPr="00075B5A" w:rsidRDefault="00CC4336" w:rsidP="00CC433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All studies, including diagnostic outcomes studies, have limitations</w:t>
      </w:r>
      <w:r>
        <w:rPr>
          <w:rFonts w:ascii="Times New Roman" w:eastAsia="Arial" w:hAnsi="Times New Roman" w:cs="Times New Roman"/>
          <w:sz w:val="24"/>
          <w:szCs w:val="24"/>
        </w:rPr>
        <w:t xml:space="preserve">, and </w:t>
      </w:r>
      <w:r w:rsidRPr="0E9995AC">
        <w:rPr>
          <w:rFonts w:ascii="Times New Roman" w:eastAsia="Arial" w:hAnsi="Times New Roman" w:cs="Times New Roman"/>
          <w:sz w:val="24"/>
          <w:szCs w:val="24"/>
        </w:rPr>
        <w:t xml:space="preserve">specific limitations will vary depending on the study design as </w:t>
      </w:r>
      <w:r>
        <w:rPr>
          <w:rFonts w:ascii="Times New Roman" w:eastAsia="Arial" w:hAnsi="Times New Roman" w:cs="Times New Roman"/>
          <w:sz w:val="24"/>
          <w:szCs w:val="24"/>
        </w:rPr>
        <w:t xml:space="preserve">previously </w:t>
      </w:r>
      <w:r w:rsidRPr="0E9995AC">
        <w:rPr>
          <w:rFonts w:ascii="Times New Roman" w:eastAsia="Arial" w:hAnsi="Times New Roman" w:cs="Times New Roman"/>
          <w:sz w:val="24"/>
          <w:szCs w:val="24"/>
        </w:rPr>
        <w:t xml:space="preserve">described. Unlike treatment or drug trials, in which clinical outcomes are evaluated at each phase of development, the focus of diagnostic test studies is primarily to establish the analytical performance of the new tests in comparison to either the gold standard or other reference methods. Therefore, studies evaluating the impact of diagnostic tests on clinical outcomes are usually performed post-marketing. Despite their limitations, diagnostic outcome studies remain valuable, particularly if the limitations are acknowledged, context described and, as much as feasible, addressed to accurately interpret the results of the study. Some of the limitations of diagnostic outcomes studies are tied to the limitations of diagnostic accuracy studies and listed below. </w:t>
      </w:r>
    </w:p>
    <w:p w14:paraId="0E171300" w14:textId="77777777" w:rsidR="00CC4336" w:rsidRPr="00075B5A" w:rsidRDefault="00CC4336" w:rsidP="00CC4336">
      <w:pPr>
        <w:spacing w:after="0" w:line="480" w:lineRule="auto"/>
        <w:ind w:firstLine="720"/>
        <w:rPr>
          <w:rFonts w:ascii="Times New Roman" w:hAnsi="Times New Roman" w:cs="Times New Roman"/>
          <w:sz w:val="24"/>
          <w:szCs w:val="24"/>
        </w:rPr>
      </w:pPr>
    </w:p>
    <w:p w14:paraId="2640AC89" w14:textId="77777777" w:rsidR="00CC4336" w:rsidRPr="00075B5A" w:rsidRDefault="00CC4336" w:rsidP="00CC4336">
      <w:pPr>
        <w:pStyle w:val="ListParagraph"/>
        <w:numPr>
          <w:ilvl w:val="0"/>
          <w:numId w:val="30"/>
        </w:numPr>
        <w:spacing w:after="0" w:line="480" w:lineRule="auto"/>
        <w:ind w:left="1080"/>
        <w:rPr>
          <w:rFonts w:ascii="Times New Roman" w:eastAsia="Arial" w:hAnsi="Times New Roman" w:cs="Times New Roman"/>
          <w:sz w:val="24"/>
          <w:szCs w:val="24"/>
        </w:rPr>
      </w:pPr>
      <w:r w:rsidRPr="00075B5A">
        <w:rPr>
          <w:rFonts w:ascii="Times New Roman" w:eastAsia="Arial" w:hAnsi="Times New Roman" w:cs="Times New Roman"/>
          <w:b/>
          <w:bCs/>
          <w:sz w:val="24"/>
          <w:szCs w:val="24"/>
        </w:rPr>
        <w:lastRenderedPageBreak/>
        <w:t xml:space="preserve">Verification Bias: </w:t>
      </w:r>
      <w:r w:rsidRPr="00075B5A">
        <w:rPr>
          <w:rFonts w:ascii="Times New Roman" w:eastAsia="Arial" w:hAnsi="Times New Roman" w:cs="Times New Roman"/>
          <w:sz w:val="24"/>
          <w:szCs w:val="24"/>
        </w:rPr>
        <w:t>Verification bias is introduced in diagnostic outcomes studies when not all patients tested with the new test are also tested with the reference test (partial verification bias) or when different reference tests are used for different groups of patients (differential verification bias) (O’Sullivan, JW et al. 2018; Lijmer, JG et al. 1999; Kohn, MA 2022). Verification bias results in overestimation of the accuracy of the new diagnostic tests and thus impacts the identification of patients with or without the disease, making conclusions from any outcome studies limited. To minimize the impact of verification bias, studies evaluating the impact of diagnostic tests on clinical outcomes should ensure that all patients in each cohort being compared are tested with the same test, to the extent possible.</w:t>
      </w:r>
    </w:p>
    <w:p w14:paraId="1A27CCD4" w14:textId="77777777" w:rsidR="00CC4336" w:rsidRPr="00075B5A" w:rsidRDefault="00CC4336" w:rsidP="00CC4336">
      <w:pPr>
        <w:spacing w:after="0" w:line="480" w:lineRule="auto"/>
        <w:ind w:left="1080"/>
        <w:rPr>
          <w:rFonts w:ascii="Times New Roman" w:hAnsi="Times New Roman" w:cs="Times New Roman"/>
          <w:sz w:val="24"/>
          <w:szCs w:val="24"/>
        </w:rPr>
      </w:pPr>
      <w:r w:rsidRPr="0A805085">
        <w:rPr>
          <w:rFonts w:ascii="Times New Roman" w:eastAsia="Helvetica" w:hAnsi="Times New Roman" w:cs="Times New Roman"/>
          <w:color w:val="333333"/>
          <w:sz w:val="24"/>
          <w:szCs w:val="24"/>
        </w:rPr>
        <w:t xml:space="preserve"> </w:t>
      </w:r>
    </w:p>
    <w:p w14:paraId="03E99851" w14:textId="77777777" w:rsidR="00CC4336" w:rsidRPr="00075B5A" w:rsidRDefault="00CC4336" w:rsidP="00CC4336">
      <w:pPr>
        <w:pStyle w:val="ListParagraph"/>
        <w:numPr>
          <w:ilvl w:val="0"/>
          <w:numId w:val="30"/>
        </w:numPr>
        <w:spacing w:after="0" w:line="480" w:lineRule="auto"/>
        <w:ind w:left="1080"/>
        <w:rPr>
          <w:rFonts w:ascii="Times New Roman" w:eastAsia="Arial" w:hAnsi="Times New Roman" w:cs="Times New Roman"/>
          <w:sz w:val="24"/>
          <w:szCs w:val="24"/>
        </w:rPr>
      </w:pPr>
      <w:r w:rsidRPr="00075B5A">
        <w:rPr>
          <w:rFonts w:ascii="Times New Roman" w:eastAsia="Arial" w:hAnsi="Times New Roman" w:cs="Times New Roman"/>
          <w:b/>
          <w:bCs/>
          <w:color w:val="333333"/>
          <w:sz w:val="24"/>
          <w:szCs w:val="24"/>
        </w:rPr>
        <w:t xml:space="preserve">Selection Bias: </w:t>
      </w:r>
      <w:r w:rsidRPr="00075B5A">
        <w:rPr>
          <w:rFonts w:ascii="Times New Roman" w:eastAsia="Arial" w:hAnsi="Times New Roman" w:cs="Times New Roman"/>
          <w:color w:val="333333"/>
          <w:sz w:val="24"/>
          <w:szCs w:val="24"/>
        </w:rPr>
        <w:t xml:space="preserve">Patient selection can have a significant impact on the clinical outcomes measured. Consecutive patients’ enrollment is preferred as it allows for inclusion of all available patients with the disease of interest (Andrade, C. 2021; Thewes et al., 2018; Martinez-Mesa, J. et al 2016). In addition to consecutive enrollment, randomization of patients (as well as the randomization method) is ideal to ensure that patients are not distributed between cohorts based on either the investigators or the patients’ preferences (Gluud, LL 2006).   However, diagnostic outcomes studies are sometimes limited by either a lack of information on how patients were selected for inclusion, may not enroll patients </w:t>
      </w:r>
      <w:r w:rsidRPr="00075B5A">
        <w:rPr>
          <w:rFonts w:ascii="Times New Roman" w:eastAsia="Arial" w:hAnsi="Times New Roman" w:cs="Times New Roman"/>
          <w:sz w:val="24"/>
          <w:szCs w:val="24"/>
        </w:rPr>
        <w:t>consecutively and are rarely randomized. The addition of appropriately matched-control cohorts may help mitigate some of these inherent limitations (</w:t>
      </w:r>
      <w:r w:rsidRPr="00075B5A">
        <w:rPr>
          <w:rFonts w:ascii="Times New Roman" w:eastAsia="Arial" w:hAnsi="Times New Roman" w:cs="Times New Roman"/>
          <w:color w:val="333333"/>
          <w:sz w:val="24"/>
          <w:szCs w:val="24"/>
        </w:rPr>
        <w:t>Song, JW and Chung, KC 2011)</w:t>
      </w:r>
      <w:r w:rsidRPr="00075B5A">
        <w:rPr>
          <w:rFonts w:ascii="Times New Roman" w:eastAsia="Arial" w:hAnsi="Times New Roman" w:cs="Times New Roman"/>
          <w:sz w:val="24"/>
          <w:szCs w:val="24"/>
        </w:rPr>
        <w:t xml:space="preserve">. </w:t>
      </w:r>
    </w:p>
    <w:p w14:paraId="338510DA" w14:textId="77777777" w:rsidR="00CC4336" w:rsidRPr="00075B5A" w:rsidRDefault="00CC4336" w:rsidP="00CC4336">
      <w:pPr>
        <w:spacing w:after="0" w:line="480" w:lineRule="auto"/>
        <w:ind w:left="720"/>
        <w:rPr>
          <w:rFonts w:ascii="Times New Roman" w:hAnsi="Times New Roman" w:cs="Times New Roman"/>
          <w:sz w:val="24"/>
          <w:szCs w:val="24"/>
        </w:rPr>
      </w:pPr>
      <w:r w:rsidRPr="0A805085">
        <w:rPr>
          <w:rFonts w:ascii="Times New Roman" w:eastAsia="Arial" w:hAnsi="Times New Roman" w:cs="Times New Roman"/>
          <w:sz w:val="24"/>
          <w:szCs w:val="24"/>
        </w:rPr>
        <w:t xml:space="preserve"> </w:t>
      </w:r>
    </w:p>
    <w:p w14:paraId="12E4423B" w14:textId="77777777" w:rsidR="00CC4336" w:rsidRPr="00075B5A" w:rsidRDefault="00CC4336" w:rsidP="00CC4336">
      <w:pPr>
        <w:pStyle w:val="ListParagraph"/>
        <w:numPr>
          <w:ilvl w:val="0"/>
          <w:numId w:val="30"/>
        </w:numPr>
        <w:spacing w:after="0" w:line="480" w:lineRule="auto"/>
        <w:ind w:left="1080"/>
        <w:rPr>
          <w:rFonts w:ascii="Times New Roman" w:eastAsia="Arial" w:hAnsi="Times New Roman" w:cs="Times New Roman"/>
          <w:sz w:val="24"/>
          <w:szCs w:val="24"/>
        </w:rPr>
      </w:pPr>
      <w:r w:rsidRPr="0E9995AC">
        <w:rPr>
          <w:rFonts w:ascii="Times New Roman" w:eastAsia="Arial" w:hAnsi="Times New Roman" w:cs="Times New Roman"/>
          <w:b/>
          <w:bCs/>
          <w:color w:val="333333"/>
          <w:sz w:val="24"/>
          <w:szCs w:val="24"/>
        </w:rPr>
        <w:lastRenderedPageBreak/>
        <w:t xml:space="preserve">Temporal Differences: </w:t>
      </w:r>
      <w:r w:rsidRPr="0E9995AC">
        <w:rPr>
          <w:rFonts w:ascii="Times New Roman" w:eastAsia="Arial" w:hAnsi="Times New Roman" w:cs="Times New Roman"/>
          <w:color w:val="333333"/>
          <w:sz w:val="24"/>
          <w:szCs w:val="24"/>
        </w:rPr>
        <w:t>Many lab process improvement studies use a pre/post intervention design (</w:t>
      </w:r>
      <w:r>
        <w:rPr>
          <w:rFonts w:ascii="Times New Roman" w:eastAsia="Arial" w:hAnsi="Times New Roman" w:cs="Times New Roman"/>
          <w:color w:val="333333"/>
          <w:sz w:val="24"/>
          <w:szCs w:val="24"/>
        </w:rPr>
        <w:t>i.e.,</w:t>
      </w:r>
      <w:r w:rsidRPr="0E9995AC">
        <w:rPr>
          <w:rFonts w:ascii="Times New Roman" w:eastAsia="Arial" w:hAnsi="Times New Roman" w:cs="Times New Roman"/>
          <w:color w:val="333333"/>
          <w:sz w:val="24"/>
          <w:szCs w:val="24"/>
        </w:rPr>
        <w:t xml:space="preserve"> “quasi-experimental” studies). Limitations of this study design include temporal differences This study design is limited by bias resulting from changes in clinical and laboratory practices that may have occurred between the pre and post periods and differences in measurements performed on two different patients’ cohorts (Gluud, LL 2006; Song, JW and Chung, KC 2011).  Similar to limitations due to selection bias, t</w:t>
      </w:r>
      <w:r w:rsidRPr="0E9995AC">
        <w:rPr>
          <w:rFonts w:ascii="Times New Roman" w:eastAsia="Arial" w:hAnsi="Times New Roman" w:cs="Times New Roman"/>
          <w:sz w:val="24"/>
          <w:szCs w:val="24"/>
        </w:rPr>
        <w:t>he addition of appropriately matched-control cohorts may help mitigate limitations due to temporal differences (</w:t>
      </w:r>
      <w:r w:rsidRPr="0E9995AC">
        <w:rPr>
          <w:rFonts w:ascii="Times New Roman" w:eastAsia="Arial" w:hAnsi="Times New Roman" w:cs="Times New Roman"/>
          <w:color w:val="333333"/>
          <w:sz w:val="24"/>
          <w:szCs w:val="24"/>
        </w:rPr>
        <w:t>Song, JW and Chung, KC 2011)</w:t>
      </w:r>
      <w:r w:rsidRPr="0E9995AC">
        <w:rPr>
          <w:rFonts w:ascii="Times New Roman" w:eastAsia="Arial" w:hAnsi="Times New Roman" w:cs="Times New Roman"/>
          <w:sz w:val="24"/>
          <w:szCs w:val="24"/>
        </w:rPr>
        <w:t>. However, as the implementation of a new laboratory process cannot always be anticipated far in advance, data collection in the pre-intervention (i.e., “standard practice”) period is not often planned ahead of time. This can limit measurement of important contextual variations in the different periods that may affect the outcomes.</w:t>
      </w:r>
    </w:p>
    <w:p w14:paraId="59CD8C67" w14:textId="630A59B2" w:rsidR="00CC4336" w:rsidRPr="00C6569B" w:rsidRDefault="00CC4336" w:rsidP="00C6569B">
      <w:pPr>
        <w:pStyle w:val="ListParagraph"/>
        <w:numPr>
          <w:ilvl w:val="0"/>
          <w:numId w:val="30"/>
        </w:numPr>
        <w:spacing w:after="0" w:line="480" w:lineRule="auto"/>
        <w:ind w:left="1080"/>
        <w:rPr>
          <w:rFonts w:ascii="Times New Roman" w:eastAsia="Arial" w:hAnsi="Times New Roman" w:cs="Times New Roman"/>
          <w:color w:val="333333"/>
          <w:sz w:val="24"/>
          <w:szCs w:val="24"/>
        </w:rPr>
      </w:pPr>
      <w:r w:rsidRPr="00C6569B">
        <w:rPr>
          <w:rFonts w:ascii="Times New Roman" w:eastAsia="Arial" w:hAnsi="Times New Roman" w:cs="Times New Roman"/>
          <w:b/>
          <w:bCs/>
          <w:color w:val="333333"/>
          <w:sz w:val="24"/>
          <w:szCs w:val="24"/>
        </w:rPr>
        <w:t xml:space="preserve">Lack of Blinding: </w:t>
      </w:r>
      <w:r w:rsidRPr="00C6569B">
        <w:rPr>
          <w:rFonts w:ascii="Times New Roman" w:eastAsia="Arial" w:hAnsi="Times New Roman" w:cs="Times New Roman"/>
          <w:color w:val="333333"/>
          <w:sz w:val="24"/>
          <w:szCs w:val="24"/>
        </w:rPr>
        <w:t>Blinding in diagnostic outcomes study is particularly challenging as results of different diagnostic tests may inherently be reported differently and thus patients, clinicians and laboratorians are often aware of the test being performed, resulting in overestimation of the impact of the intervention (Gluud, LL 2006; Probst et al. 2016). While blinding of patients and laboratorians might be difficult, study design may consider blinding the staff assessing the impact of the diagnostic test to which test was performed for each cohort (i.e. single blinding vs double blinding) (</w:t>
      </w:r>
      <w:r w:rsidRPr="00C6569B">
        <w:rPr>
          <w:rFonts w:ascii="Times New Roman" w:eastAsia="Arial" w:hAnsi="Times New Roman" w:cs="Times New Roman"/>
          <w:color w:val="424242"/>
          <w:sz w:val="24"/>
          <w:szCs w:val="24"/>
        </w:rPr>
        <w:t>Nunan D, Heneghan C 2018.</w:t>
      </w:r>
      <w:r w:rsidRPr="00C6569B">
        <w:rPr>
          <w:rFonts w:ascii="Times New Roman" w:eastAsia="Arial" w:hAnsi="Times New Roman" w:cs="Times New Roman"/>
          <w:color w:val="333333"/>
          <w:sz w:val="24"/>
          <w:szCs w:val="24"/>
        </w:rPr>
        <w:t xml:space="preserve">). </w:t>
      </w:r>
    </w:p>
    <w:p w14:paraId="3D902362" w14:textId="77777777" w:rsidR="00CC4336" w:rsidRPr="00075B5A" w:rsidRDefault="00CC4336" w:rsidP="00CC4336">
      <w:pPr>
        <w:pStyle w:val="ListParagraph"/>
        <w:numPr>
          <w:ilvl w:val="0"/>
          <w:numId w:val="30"/>
        </w:numPr>
        <w:spacing w:after="0" w:line="480" w:lineRule="auto"/>
        <w:ind w:left="1080"/>
        <w:rPr>
          <w:rFonts w:ascii="Times New Roman" w:eastAsia="Arial" w:hAnsi="Times New Roman" w:cs="Times New Roman"/>
          <w:sz w:val="24"/>
          <w:szCs w:val="24"/>
        </w:rPr>
      </w:pPr>
      <w:r w:rsidRPr="00075B5A">
        <w:rPr>
          <w:rFonts w:ascii="Times New Roman" w:eastAsia="Arial" w:hAnsi="Times New Roman" w:cs="Times New Roman"/>
          <w:b/>
          <w:bCs/>
          <w:sz w:val="24"/>
          <w:szCs w:val="24"/>
        </w:rPr>
        <w:t>Study sample size</w:t>
      </w:r>
      <w:r w:rsidRPr="00075B5A">
        <w:rPr>
          <w:rFonts w:ascii="Times New Roman" w:eastAsia="Arial" w:hAnsi="Times New Roman" w:cs="Times New Roman"/>
          <w:sz w:val="24"/>
          <w:szCs w:val="24"/>
        </w:rPr>
        <w:t xml:space="preserve">: The minimum sample study size to adequately measure the effect of the diagnostic intervention on the clinical outcomes will vary depending on the </w:t>
      </w:r>
      <w:r w:rsidRPr="00075B5A">
        <w:rPr>
          <w:rFonts w:ascii="Times New Roman" w:eastAsia="Arial" w:hAnsi="Times New Roman" w:cs="Times New Roman"/>
          <w:sz w:val="24"/>
          <w:szCs w:val="24"/>
        </w:rPr>
        <w:lastRenderedPageBreak/>
        <w:t xml:space="preserve">specific outcome being measured and the prevalence of the disease in the patient population. Sample study size is an important criterion to ensure that differences observed between the cohort is due to the intervention and not a random effect. Larger studies are ideal to provide meaningful and precise results, however, small studies are easier to perform and if the disease prevalence is high enough may provide some valuable data (Hackshaw, A. 2008). Many diagnostic studies often do not report how and if sample size was calculated and thus may fail to adequately evaluate the impact of the test on clinical outcomes or draw inaccurate or inconclusive results. It is therefore important that size calculations be a major element of diagnostic outcome study design (Serdar et al., 2021). </w:t>
      </w:r>
    </w:p>
    <w:p w14:paraId="5DAA49E1" w14:textId="77777777" w:rsidR="00CC4336" w:rsidRPr="00075B5A" w:rsidRDefault="00CC4336" w:rsidP="00CC4336">
      <w:pPr>
        <w:spacing w:after="0" w:line="480" w:lineRule="auto"/>
        <w:rPr>
          <w:rFonts w:ascii="Times New Roman" w:hAnsi="Times New Roman" w:cs="Times New Roman"/>
          <w:sz w:val="24"/>
          <w:szCs w:val="24"/>
        </w:rPr>
      </w:pPr>
      <w:r w:rsidRPr="0A805085">
        <w:rPr>
          <w:rFonts w:ascii="Times New Roman" w:eastAsia="Arial" w:hAnsi="Times New Roman" w:cs="Times New Roman"/>
          <w:b/>
          <w:bCs/>
          <w:color w:val="333333"/>
          <w:sz w:val="24"/>
          <w:szCs w:val="24"/>
        </w:rPr>
        <w:t xml:space="preserve"> </w:t>
      </w:r>
    </w:p>
    <w:p w14:paraId="68E1306D" w14:textId="2BA8B66A" w:rsidR="00CC4336" w:rsidRDefault="00CC4336" w:rsidP="00CC4336">
      <w:pPr>
        <w:spacing w:after="0" w:line="480" w:lineRule="auto"/>
        <w:rPr>
          <w:rFonts w:ascii="Times New Roman" w:eastAsia="Arial" w:hAnsi="Times New Roman" w:cs="Times New Roman"/>
          <w:color w:val="0E0C1B"/>
          <w:sz w:val="24"/>
          <w:szCs w:val="24"/>
        </w:rPr>
      </w:pPr>
      <w:r w:rsidRPr="0A805085">
        <w:rPr>
          <w:rFonts w:ascii="Times New Roman" w:eastAsia="Arial" w:hAnsi="Times New Roman" w:cs="Times New Roman"/>
          <w:b/>
          <w:bCs/>
          <w:color w:val="333333"/>
          <w:sz w:val="24"/>
          <w:szCs w:val="24"/>
        </w:rPr>
        <w:t xml:space="preserve"> </w:t>
      </w:r>
      <w:r w:rsidRPr="0A805085">
        <w:rPr>
          <w:rFonts w:ascii="Times New Roman" w:eastAsia="Arial" w:hAnsi="Times New Roman" w:cs="Times New Roman"/>
          <w:color w:val="333333"/>
          <w:sz w:val="24"/>
          <w:szCs w:val="24"/>
        </w:rPr>
        <w:t xml:space="preserve">While diagnostic outcomes studies might be limited by their design, several options exist to minimize the limitations. </w:t>
      </w:r>
      <w:r>
        <w:rPr>
          <w:rFonts w:ascii="Times New Roman" w:eastAsia="Arial" w:hAnsi="Times New Roman" w:cs="Times New Roman"/>
          <w:color w:val="333333"/>
          <w:sz w:val="24"/>
          <w:szCs w:val="24"/>
        </w:rPr>
        <w:t xml:space="preserve">To aid in the </w:t>
      </w:r>
      <w:r w:rsidRPr="0A805085">
        <w:rPr>
          <w:rFonts w:ascii="Times New Roman" w:eastAsia="Arial" w:hAnsi="Times New Roman" w:cs="Times New Roman"/>
          <w:color w:val="333333"/>
          <w:sz w:val="24"/>
          <w:szCs w:val="24"/>
        </w:rPr>
        <w:t xml:space="preserve">designing and reporting </w:t>
      </w:r>
      <w:r>
        <w:rPr>
          <w:rFonts w:ascii="Times New Roman" w:eastAsia="Arial" w:hAnsi="Times New Roman" w:cs="Times New Roman"/>
          <w:color w:val="333333"/>
          <w:sz w:val="24"/>
          <w:szCs w:val="24"/>
        </w:rPr>
        <w:t xml:space="preserve">of </w:t>
      </w:r>
      <w:r w:rsidRPr="0A805085">
        <w:rPr>
          <w:rFonts w:ascii="Times New Roman" w:eastAsia="Arial" w:hAnsi="Times New Roman" w:cs="Times New Roman"/>
          <w:color w:val="333333"/>
          <w:sz w:val="24"/>
          <w:szCs w:val="24"/>
        </w:rPr>
        <w:t xml:space="preserve">results </w:t>
      </w:r>
      <w:r>
        <w:rPr>
          <w:rFonts w:ascii="Times New Roman" w:eastAsia="Arial" w:hAnsi="Times New Roman" w:cs="Times New Roman"/>
          <w:color w:val="333333"/>
          <w:sz w:val="24"/>
          <w:szCs w:val="24"/>
        </w:rPr>
        <w:t>in an outcome</w:t>
      </w:r>
      <w:r w:rsidRPr="0A805085">
        <w:rPr>
          <w:rFonts w:ascii="Times New Roman" w:eastAsia="Arial" w:hAnsi="Times New Roman" w:cs="Times New Roman"/>
          <w:color w:val="333333"/>
          <w:sz w:val="24"/>
          <w:szCs w:val="24"/>
        </w:rPr>
        <w:t xml:space="preserve"> study, </w:t>
      </w:r>
      <w:r w:rsidR="00C6569B">
        <w:rPr>
          <w:rFonts w:ascii="Times New Roman" w:eastAsia="Arial" w:hAnsi="Times New Roman" w:cs="Times New Roman"/>
          <w:color w:val="333333"/>
          <w:sz w:val="24"/>
          <w:szCs w:val="24"/>
        </w:rPr>
        <w:t>the LAB-QUIRE 2.0</w:t>
      </w:r>
      <w:r w:rsidRPr="0A805085">
        <w:rPr>
          <w:rFonts w:ascii="Times New Roman" w:eastAsia="Arial" w:hAnsi="Times New Roman" w:cs="Times New Roman"/>
          <w:color w:val="333333"/>
          <w:sz w:val="24"/>
          <w:szCs w:val="24"/>
        </w:rPr>
        <w:t xml:space="preserve"> </w:t>
      </w:r>
      <w:r w:rsidRPr="0A805085">
        <w:rPr>
          <w:rFonts w:ascii="Times New Roman" w:eastAsia="Arial" w:hAnsi="Times New Roman" w:cs="Times New Roman"/>
          <w:color w:val="0E0C1B"/>
          <w:sz w:val="24"/>
          <w:szCs w:val="24"/>
        </w:rPr>
        <w:t xml:space="preserve">checklist </w:t>
      </w:r>
      <w:r w:rsidR="00C6569B">
        <w:rPr>
          <w:rFonts w:ascii="Times New Roman" w:eastAsia="Arial" w:hAnsi="Times New Roman" w:cs="Times New Roman"/>
          <w:color w:val="0E0C1B"/>
          <w:sz w:val="24"/>
          <w:szCs w:val="24"/>
        </w:rPr>
        <w:t>includes</w:t>
      </w:r>
      <w:r w:rsidRPr="0A805085">
        <w:rPr>
          <w:rFonts w:ascii="Times New Roman" w:eastAsia="Arial" w:hAnsi="Times New Roman" w:cs="Times New Roman"/>
          <w:color w:val="0E0C1B"/>
          <w:sz w:val="24"/>
          <w:szCs w:val="24"/>
        </w:rPr>
        <w:t xml:space="preserve"> recommendations to help improve the data reported and increase the value of the measured outcomes. </w:t>
      </w:r>
      <w:r>
        <w:rPr>
          <w:rFonts w:ascii="Times New Roman" w:eastAsia="Arial" w:hAnsi="Times New Roman" w:cs="Times New Roman"/>
          <w:color w:val="0E0C1B"/>
          <w:sz w:val="24"/>
          <w:szCs w:val="24"/>
        </w:rPr>
        <w:t>An alternative</w:t>
      </w:r>
      <w:r w:rsidRPr="0A805085">
        <w:rPr>
          <w:rFonts w:ascii="Times New Roman" w:eastAsia="Arial" w:hAnsi="Times New Roman" w:cs="Times New Roman"/>
          <w:color w:val="0E0C1B"/>
          <w:sz w:val="24"/>
          <w:szCs w:val="24"/>
        </w:rPr>
        <w:t xml:space="preserve"> checklist is </w:t>
      </w:r>
      <w:r w:rsidRPr="0A805085">
        <w:rPr>
          <w:rFonts w:ascii="Times New Roman" w:eastAsia="Arial" w:hAnsi="Times New Roman" w:cs="Times New Roman"/>
          <w:color w:val="333333"/>
          <w:sz w:val="24"/>
          <w:szCs w:val="24"/>
        </w:rPr>
        <w:t xml:space="preserve">the STROBE </w:t>
      </w:r>
      <w:r w:rsidRPr="00B15474">
        <w:rPr>
          <w:rFonts w:ascii="Times New Roman" w:eastAsia="Arial" w:hAnsi="Times New Roman" w:cs="Times New Roman"/>
          <w:color w:val="333333"/>
          <w:sz w:val="24"/>
          <w:szCs w:val="24"/>
        </w:rPr>
        <w:t>(</w:t>
      </w:r>
      <w:r w:rsidRPr="00B15474">
        <w:rPr>
          <w:rFonts w:ascii="Times New Roman" w:eastAsia="Arial" w:hAnsi="Times New Roman" w:cs="Times New Roman"/>
          <w:color w:val="0E0C1B"/>
          <w:sz w:val="24"/>
          <w:szCs w:val="24"/>
        </w:rPr>
        <w:t xml:space="preserve">STrengthening the Reporting of OBservational studies in Epidemiology) </w:t>
      </w:r>
      <w:r w:rsidRPr="0A805085">
        <w:rPr>
          <w:rFonts w:ascii="Times New Roman" w:eastAsia="Arial" w:hAnsi="Times New Roman" w:cs="Times New Roman"/>
          <w:color w:val="0E0C1B"/>
          <w:sz w:val="24"/>
          <w:szCs w:val="24"/>
        </w:rPr>
        <w:t>(</w:t>
      </w:r>
      <w:hyperlink r:id="rId16">
        <w:r w:rsidRPr="0A805085">
          <w:rPr>
            <w:rStyle w:val="Hyperlink"/>
            <w:rFonts w:ascii="Times New Roman" w:eastAsia="Arial" w:hAnsi="Times New Roman" w:cs="Times New Roman"/>
            <w:color w:val="0563C1"/>
            <w:sz w:val="24"/>
            <w:szCs w:val="24"/>
          </w:rPr>
          <w:t>https://www.strobe-statement.org/</w:t>
        </w:r>
      </w:hyperlink>
      <w:r w:rsidRPr="0A805085">
        <w:rPr>
          <w:rFonts w:ascii="Times New Roman" w:eastAsia="Arial" w:hAnsi="Times New Roman" w:cs="Times New Roman"/>
          <w:color w:val="0E0C1B"/>
          <w:sz w:val="24"/>
          <w:szCs w:val="24"/>
        </w:rPr>
        <w:t xml:space="preserve">). </w:t>
      </w:r>
    </w:p>
    <w:p w14:paraId="4CFC5703" w14:textId="77777777" w:rsidR="00CC4336" w:rsidRPr="00075B5A" w:rsidRDefault="00CC4336" w:rsidP="006563F6">
      <w:pPr>
        <w:spacing w:after="0" w:line="480" w:lineRule="auto"/>
        <w:rPr>
          <w:rFonts w:ascii="Times New Roman" w:hAnsi="Times New Roman" w:cs="Times New Roman"/>
          <w:sz w:val="24"/>
          <w:szCs w:val="24"/>
        </w:rPr>
      </w:pPr>
    </w:p>
    <w:p w14:paraId="34A8054E" w14:textId="67626DD6" w:rsidR="00DC7713" w:rsidRPr="00075B5A" w:rsidRDefault="00D06723" w:rsidP="0A805085">
      <w:pPr>
        <w:spacing w:after="0" w:line="480" w:lineRule="auto"/>
        <w:rPr>
          <w:rFonts w:ascii="Times New Roman" w:eastAsia="Calibri" w:hAnsi="Times New Roman" w:cs="Times New Roman"/>
          <w:b/>
          <w:bCs/>
          <w:i/>
          <w:iCs/>
          <w:sz w:val="24"/>
          <w:szCs w:val="24"/>
        </w:rPr>
      </w:pPr>
      <w:r>
        <w:rPr>
          <w:rFonts w:ascii="Times New Roman" w:hAnsi="Times New Roman" w:cs="Times New Roman"/>
          <w:b/>
          <w:bCs/>
          <w:sz w:val="24"/>
          <w:szCs w:val="24"/>
        </w:rPr>
        <w:t>D</w:t>
      </w:r>
      <w:r w:rsidR="00B05A29">
        <w:rPr>
          <w:rFonts w:ascii="Times New Roman" w:hAnsi="Times New Roman" w:cs="Times New Roman"/>
          <w:b/>
          <w:bCs/>
          <w:sz w:val="24"/>
          <w:szCs w:val="24"/>
        </w:rPr>
        <w:t>emographic considerations</w:t>
      </w:r>
    </w:p>
    <w:p w14:paraId="3D2C09AB" w14:textId="5A3506A6"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Calibri" w:hAnsi="Times New Roman" w:cs="Times New Roman"/>
          <w:sz w:val="24"/>
          <w:szCs w:val="24"/>
        </w:rPr>
        <w:t xml:space="preserve">Demographic data provides information on the characteristics and/or traits that define an individual or population being evaluated. Most studies include demographic information on the size of the population, the population type, the location, age, gender/sex, co-morbidities, mortality, and sometimes socioeconomic status. </w:t>
      </w:r>
      <w:r w:rsidR="005535D5" w:rsidRPr="0A805085">
        <w:rPr>
          <w:rFonts w:ascii="Times New Roman" w:eastAsia="Calibri" w:hAnsi="Times New Roman" w:cs="Times New Roman"/>
          <w:sz w:val="24"/>
          <w:szCs w:val="24"/>
        </w:rPr>
        <w:t xml:space="preserve">These attributes help researchers understand </w:t>
      </w:r>
      <w:r w:rsidR="005535D5" w:rsidRPr="0A805085">
        <w:rPr>
          <w:rFonts w:ascii="Times New Roman" w:eastAsia="Calibri" w:hAnsi="Times New Roman" w:cs="Times New Roman"/>
          <w:sz w:val="24"/>
          <w:szCs w:val="24"/>
        </w:rPr>
        <w:lastRenderedPageBreak/>
        <w:t xml:space="preserve">trends and patterns, segment populations, and make informed decisions at the conclusion of the study.  </w:t>
      </w:r>
    </w:p>
    <w:p w14:paraId="25322F65" w14:textId="7C428D12" w:rsidR="128E111D" w:rsidRPr="00075B5A" w:rsidRDefault="128E111D" w:rsidP="006563F6">
      <w:pPr>
        <w:spacing w:after="0" w:line="480" w:lineRule="auto"/>
        <w:rPr>
          <w:rFonts w:ascii="Times New Roman" w:eastAsia="Calibri" w:hAnsi="Times New Roman" w:cs="Times New Roman"/>
          <w:sz w:val="24"/>
          <w:szCs w:val="24"/>
        </w:rPr>
      </w:pPr>
    </w:p>
    <w:p w14:paraId="3FE9FF52" w14:textId="59378B80" w:rsidR="128E111D" w:rsidRPr="00075B5A" w:rsidRDefault="001C000A" w:rsidP="006563F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P</w:t>
      </w:r>
      <w:r w:rsidR="0A805085" w:rsidRPr="0A805085">
        <w:rPr>
          <w:rFonts w:ascii="Times New Roman" w:eastAsia="Calibri" w:hAnsi="Times New Roman" w:cs="Times New Roman"/>
          <w:sz w:val="24"/>
          <w:szCs w:val="24"/>
        </w:rPr>
        <w:t>rior to the start of the study</w:t>
      </w:r>
      <w:r>
        <w:rPr>
          <w:rFonts w:ascii="Times New Roman" w:eastAsia="Calibri" w:hAnsi="Times New Roman" w:cs="Times New Roman"/>
          <w:sz w:val="24"/>
          <w:szCs w:val="24"/>
        </w:rPr>
        <w:t xml:space="preserve">, </w:t>
      </w:r>
      <w:r w:rsidR="0A805085" w:rsidRPr="0A805085">
        <w:rPr>
          <w:rFonts w:ascii="Times New Roman" w:eastAsia="Calibri" w:hAnsi="Times New Roman" w:cs="Times New Roman"/>
          <w:sz w:val="24"/>
          <w:szCs w:val="24"/>
        </w:rPr>
        <w:t>the target population and the subsequent study population that will be evaluated</w:t>
      </w:r>
      <w:r>
        <w:rPr>
          <w:rFonts w:ascii="Times New Roman" w:eastAsia="Calibri" w:hAnsi="Times New Roman" w:cs="Times New Roman"/>
          <w:sz w:val="24"/>
          <w:szCs w:val="24"/>
        </w:rPr>
        <w:t xml:space="preserve"> must be defined</w:t>
      </w:r>
      <w:r w:rsidR="0A805085" w:rsidRPr="0A805085">
        <w:rPr>
          <w:rFonts w:ascii="Times New Roman" w:eastAsia="Calibri" w:hAnsi="Times New Roman" w:cs="Times New Roman"/>
          <w:sz w:val="24"/>
          <w:szCs w:val="24"/>
        </w:rPr>
        <w:t>. The target/study population is a group of individuals with a set of traits or characteristics that the study will evaluate. These traits</w:t>
      </w:r>
      <w:r>
        <w:rPr>
          <w:rFonts w:ascii="Times New Roman" w:eastAsia="Calibri" w:hAnsi="Times New Roman" w:cs="Times New Roman"/>
          <w:sz w:val="24"/>
          <w:szCs w:val="24"/>
        </w:rPr>
        <w:t xml:space="preserve"> or </w:t>
      </w:r>
      <w:r w:rsidR="0A805085" w:rsidRPr="0A805085">
        <w:rPr>
          <w:rFonts w:ascii="Times New Roman" w:eastAsia="Calibri" w:hAnsi="Times New Roman" w:cs="Times New Roman"/>
          <w:sz w:val="24"/>
          <w:szCs w:val="24"/>
        </w:rPr>
        <w:t>characteristics can be delineated as clinical, gender/sex, geographic location, setting and/or age, as well as other attributes or variables. Authors should attempt to use well defined characteristics, rather than institutional or individually designed definitions, to minimize bias.  Examples of this are often seen in pediatric-based studies where pediatric patients are defined as either 0 – 17 years of age</w:t>
      </w:r>
      <w:r w:rsidR="003E5E08">
        <w:rPr>
          <w:rFonts w:ascii="Times New Roman" w:eastAsia="Calibri" w:hAnsi="Times New Roman" w:cs="Times New Roman"/>
          <w:sz w:val="24"/>
          <w:szCs w:val="24"/>
        </w:rPr>
        <w:t xml:space="preserve"> (</w:t>
      </w:r>
      <w:commentRangeStart w:id="26"/>
      <w:r w:rsidR="003E5E08">
        <w:rPr>
          <w:rFonts w:ascii="Times New Roman" w:eastAsia="Calibri" w:hAnsi="Times New Roman" w:cs="Times New Roman"/>
          <w:sz w:val="24"/>
          <w:szCs w:val="24"/>
        </w:rPr>
        <w:t>REF</w:t>
      </w:r>
      <w:commentRangeEnd w:id="26"/>
      <w:r w:rsidR="003E5E08">
        <w:rPr>
          <w:rStyle w:val="CommentReference"/>
          <w:rFonts w:ascii="Times New Roman" w:eastAsia="Calibri" w:hAnsi="Times New Roman" w:cs="Times New Roman"/>
          <w:sz w:val="24"/>
          <w:szCs w:val="24"/>
        </w:rPr>
        <w:commentReference w:id="26"/>
      </w:r>
      <w:r w:rsidR="003E5E08">
        <w:rPr>
          <w:rFonts w:ascii="Times New Roman" w:eastAsia="Calibri" w:hAnsi="Times New Roman" w:cs="Times New Roman"/>
          <w:sz w:val="24"/>
          <w:szCs w:val="24"/>
        </w:rPr>
        <w:t>),</w:t>
      </w:r>
      <w:r w:rsidR="0A805085" w:rsidRPr="0A805085">
        <w:rPr>
          <w:rFonts w:ascii="Times New Roman" w:eastAsia="Calibri" w:hAnsi="Times New Roman" w:cs="Times New Roman"/>
          <w:sz w:val="24"/>
          <w:szCs w:val="24"/>
        </w:rPr>
        <w:t xml:space="preserve"> or 0 – 21 years of </w:t>
      </w:r>
      <w:commentRangeStart w:id="27"/>
      <w:r w:rsidR="0A805085" w:rsidRPr="0A805085">
        <w:rPr>
          <w:rFonts w:ascii="Times New Roman" w:eastAsia="Calibri" w:hAnsi="Times New Roman" w:cs="Times New Roman"/>
          <w:sz w:val="24"/>
          <w:szCs w:val="24"/>
        </w:rPr>
        <w:t>age</w:t>
      </w:r>
      <w:commentRangeEnd w:id="27"/>
      <w:r w:rsidR="003E5E08" w:rsidRPr="0A805085">
        <w:rPr>
          <w:rStyle w:val="CommentReference"/>
          <w:rFonts w:ascii="Times New Roman" w:eastAsia="Calibri" w:hAnsi="Times New Roman" w:cs="Times New Roman"/>
          <w:sz w:val="24"/>
          <w:szCs w:val="24"/>
        </w:rPr>
        <w:commentReference w:id="27"/>
      </w:r>
      <w:r w:rsidR="0A805085" w:rsidRPr="0A805085">
        <w:rPr>
          <w:rFonts w:ascii="Times New Roman" w:eastAsia="Calibri" w:hAnsi="Times New Roman" w:cs="Times New Roman"/>
          <w:sz w:val="24"/>
          <w:szCs w:val="24"/>
        </w:rPr>
        <w:t xml:space="preserve"> </w:t>
      </w:r>
      <w:r w:rsidR="003E5E08">
        <w:rPr>
          <w:rFonts w:ascii="Times New Roman" w:eastAsia="Calibri" w:hAnsi="Times New Roman" w:cs="Times New Roman"/>
          <w:sz w:val="24"/>
          <w:szCs w:val="24"/>
        </w:rPr>
        <w:t>(REF),</w:t>
      </w:r>
      <w:r w:rsidR="0A805085" w:rsidRPr="0A805085">
        <w:rPr>
          <w:rFonts w:ascii="Times New Roman" w:eastAsia="Calibri" w:hAnsi="Times New Roman" w:cs="Times New Roman"/>
          <w:sz w:val="24"/>
          <w:szCs w:val="24"/>
        </w:rPr>
        <w:t xml:space="preserve"> whereas other studies will specifically call out specific age-related populations such as neonates/newborns, infants, children and adolescents</w:t>
      </w:r>
      <w:r w:rsidR="003E5E08">
        <w:rPr>
          <w:rFonts w:ascii="Times New Roman" w:eastAsia="Calibri" w:hAnsi="Times New Roman" w:cs="Times New Roman"/>
          <w:sz w:val="24"/>
          <w:szCs w:val="24"/>
        </w:rPr>
        <w:t xml:space="preserve"> (</w:t>
      </w:r>
      <w:commentRangeStart w:id="28"/>
      <w:r w:rsidR="003E5E08">
        <w:rPr>
          <w:rFonts w:ascii="Times New Roman" w:eastAsia="Calibri" w:hAnsi="Times New Roman" w:cs="Times New Roman"/>
          <w:sz w:val="24"/>
          <w:szCs w:val="24"/>
        </w:rPr>
        <w:t>REFs</w:t>
      </w:r>
      <w:commentRangeEnd w:id="28"/>
      <w:r w:rsidR="003E5E08">
        <w:rPr>
          <w:rStyle w:val="CommentReference"/>
          <w:rFonts w:ascii="Times New Roman" w:eastAsia="Calibri" w:hAnsi="Times New Roman" w:cs="Times New Roman"/>
          <w:sz w:val="24"/>
          <w:szCs w:val="24"/>
        </w:rPr>
        <w:commentReference w:id="28"/>
      </w:r>
      <w:r w:rsidR="003E5E08">
        <w:rPr>
          <w:rFonts w:ascii="Times New Roman" w:eastAsia="Calibri" w:hAnsi="Times New Roman" w:cs="Times New Roman"/>
          <w:sz w:val="24"/>
          <w:szCs w:val="24"/>
        </w:rPr>
        <w:t>).</w:t>
      </w:r>
      <w:r w:rsidR="0A805085" w:rsidRPr="0A805085">
        <w:rPr>
          <w:rFonts w:ascii="Times New Roman" w:eastAsia="Calibri" w:hAnsi="Times New Roman" w:cs="Times New Roman"/>
          <w:sz w:val="24"/>
          <w:szCs w:val="24"/>
        </w:rPr>
        <w:t xml:space="preserve"> The FDA recommends the following age ranges for pediatric and adult subpopulations (</w:t>
      </w:r>
      <w:commentRangeStart w:id="29"/>
      <w:r w:rsidR="003E5E08">
        <w:rPr>
          <w:rFonts w:ascii="Times New Roman" w:eastAsia="Calibri" w:hAnsi="Times New Roman" w:cs="Times New Roman"/>
          <w:sz w:val="24"/>
          <w:szCs w:val="24"/>
        </w:rPr>
        <w:t>REFs</w:t>
      </w:r>
      <w:commentRangeEnd w:id="29"/>
      <w:r w:rsidR="003E5E08">
        <w:rPr>
          <w:rStyle w:val="CommentReference"/>
          <w:rFonts w:ascii="Times New Roman" w:eastAsia="Calibri" w:hAnsi="Times New Roman" w:cs="Times New Roman"/>
          <w:sz w:val="24"/>
          <w:szCs w:val="24"/>
        </w:rPr>
        <w:commentReference w:id="29"/>
      </w:r>
      <w:r w:rsidR="003E5E08">
        <w:rPr>
          <w:rFonts w:ascii="Times New Roman" w:eastAsia="Calibri" w:hAnsi="Times New Roman" w:cs="Times New Roman"/>
          <w:sz w:val="24"/>
          <w:szCs w:val="24"/>
        </w:rPr>
        <w:t>):</w:t>
      </w:r>
    </w:p>
    <w:p w14:paraId="36CBAE70" w14:textId="7CCD6514"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Neonates:</w:t>
      </w:r>
      <w:r w:rsidRPr="00075B5A">
        <w:rPr>
          <w:rFonts w:ascii="Times New Roman" w:eastAsia="Calibri" w:hAnsi="Times New Roman" w:cs="Times New Roman"/>
          <w:sz w:val="24"/>
          <w:szCs w:val="24"/>
        </w:rPr>
        <w:t xml:space="preserve"> from birth through the first 28 days of life; </w:t>
      </w:r>
    </w:p>
    <w:p w14:paraId="1A3C5814" w14:textId="7404983E"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 xml:space="preserve">Infants: </w:t>
      </w:r>
      <w:r w:rsidRPr="00075B5A">
        <w:rPr>
          <w:rFonts w:ascii="Times New Roman" w:eastAsia="Calibri" w:hAnsi="Times New Roman" w:cs="Times New Roman"/>
          <w:sz w:val="24"/>
          <w:szCs w:val="24"/>
        </w:rPr>
        <w:t xml:space="preserve">29 days of age to less than two years of age; </w:t>
      </w:r>
    </w:p>
    <w:p w14:paraId="17F3C3E2" w14:textId="05C04115"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Children:</w:t>
      </w:r>
      <w:r w:rsidRPr="00075B5A">
        <w:rPr>
          <w:rFonts w:ascii="Times New Roman" w:eastAsia="Calibri" w:hAnsi="Times New Roman" w:cs="Times New Roman"/>
          <w:sz w:val="24"/>
          <w:szCs w:val="24"/>
        </w:rPr>
        <w:t xml:space="preserve"> Two years of age to less than 12 years of age; and </w:t>
      </w:r>
    </w:p>
    <w:p w14:paraId="2532FD17" w14:textId="31C4559C"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Adolescents:</w:t>
      </w:r>
      <w:r w:rsidRPr="00075B5A">
        <w:rPr>
          <w:rFonts w:ascii="Times New Roman" w:eastAsia="Calibri" w:hAnsi="Times New Roman" w:cs="Times New Roman"/>
          <w:sz w:val="24"/>
          <w:szCs w:val="24"/>
        </w:rPr>
        <w:t xml:space="preserve"> 12 years of age through 21 years of age (up to, but not including, the twenty-second birthday)</w:t>
      </w:r>
    </w:p>
    <w:p w14:paraId="7CD0CD49" w14:textId="10CC4473"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Adults:</w:t>
      </w:r>
      <w:r w:rsidRPr="00075B5A">
        <w:rPr>
          <w:rFonts w:ascii="Times New Roman" w:eastAsia="Calibri" w:hAnsi="Times New Roman" w:cs="Times New Roman"/>
          <w:sz w:val="24"/>
          <w:szCs w:val="24"/>
        </w:rPr>
        <w:t xml:space="preserve"> 22 years of age through 64 years of age</w:t>
      </w:r>
    </w:p>
    <w:p w14:paraId="725C61A3" w14:textId="793EE985" w:rsidR="128E111D" w:rsidRPr="00075B5A" w:rsidRDefault="0A805085" w:rsidP="006563F6">
      <w:pPr>
        <w:pStyle w:val="ListParagraph"/>
        <w:numPr>
          <w:ilvl w:val="0"/>
          <w:numId w:val="1"/>
        </w:numPr>
        <w:spacing w:after="0" w:line="480" w:lineRule="auto"/>
        <w:rPr>
          <w:rFonts w:ascii="Times New Roman" w:hAnsi="Times New Roman" w:cs="Times New Roman"/>
          <w:sz w:val="24"/>
          <w:szCs w:val="24"/>
        </w:rPr>
      </w:pPr>
      <w:r w:rsidRPr="0A805085">
        <w:rPr>
          <w:rFonts w:ascii="Times New Roman" w:eastAsia="Calibri" w:hAnsi="Times New Roman" w:cs="Times New Roman"/>
          <w:b/>
          <w:bCs/>
          <w:sz w:val="24"/>
          <w:szCs w:val="24"/>
        </w:rPr>
        <w:t xml:space="preserve">Geriatric adults: </w:t>
      </w:r>
      <w:r w:rsidRPr="0A805085">
        <w:rPr>
          <w:rFonts w:ascii="Times New Roman" w:hAnsi="Times New Roman" w:cs="Times New Roman"/>
          <w:sz w:val="24"/>
          <w:szCs w:val="24"/>
        </w:rPr>
        <w:t>65 years of age and older</w:t>
      </w:r>
    </w:p>
    <w:p w14:paraId="4A20FB83" w14:textId="54CF2C63" w:rsidR="128E111D"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Geographic location is another area that is frequently ill-defined in many studies. Although the ends of the spectrum, </w:t>
      </w:r>
      <w:r w:rsidR="004D21AA">
        <w:rPr>
          <w:rFonts w:ascii="Times New Roman" w:hAnsi="Times New Roman" w:cs="Times New Roman"/>
          <w:sz w:val="24"/>
          <w:szCs w:val="24"/>
        </w:rPr>
        <w:t xml:space="preserve">i.e. </w:t>
      </w:r>
      <w:r w:rsidRPr="0A805085">
        <w:rPr>
          <w:rFonts w:ascii="Times New Roman" w:hAnsi="Times New Roman" w:cs="Times New Roman"/>
          <w:sz w:val="24"/>
          <w:szCs w:val="24"/>
        </w:rPr>
        <w:t xml:space="preserve">urban versus rural, can be more easily defined, suburban and areas adjacent to urban and rural areas often become more difficult to elucidate. The United States </w:t>
      </w:r>
      <w:r w:rsidRPr="0A805085">
        <w:rPr>
          <w:rFonts w:ascii="Times New Roman" w:hAnsi="Times New Roman" w:cs="Times New Roman"/>
          <w:sz w:val="24"/>
          <w:szCs w:val="24"/>
        </w:rPr>
        <w:lastRenderedPageBreak/>
        <w:t xml:space="preserve">federal government provides several different classification systems that can be used to define how urban or rural areas are. These include the National Center for Health Statistics (NCHS) </w:t>
      </w:r>
      <w:hyperlink r:id="rId17">
        <w:r w:rsidRPr="0A805085">
          <w:rPr>
            <w:rStyle w:val="Hyperlink"/>
            <w:rFonts w:ascii="Times New Roman" w:hAnsi="Times New Roman" w:cs="Times New Roman"/>
            <w:sz w:val="24"/>
            <w:szCs w:val="24"/>
          </w:rPr>
          <w:t>Urban-Rural Classification Scheme for Counties</w:t>
        </w:r>
      </w:hyperlink>
      <w:r w:rsidRPr="0A805085">
        <w:rPr>
          <w:rFonts w:ascii="Times New Roman" w:hAnsi="Times New Roman" w:cs="Times New Roman"/>
          <w:sz w:val="24"/>
          <w:szCs w:val="24"/>
        </w:rPr>
        <w:t xml:space="preserve">, U.S. Department of Agriculture (USDA) </w:t>
      </w:r>
      <w:hyperlink r:id="rId18">
        <w:r w:rsidRPr="0A805085">
          <w:rPr>
            <w:rStyle w:val="Hyperlink"/>
            <w:rFonts w:ascii="Times New Roman" w:hAnsi="Times New Roman" w:cs="Times New Roman"/>
            <w:sz w:val="24"/>
            <w:szCs w:val="24"/>
          </w:rPr>
          <w:t>Rural-Urban Continuum Codes</w:t>
        </w:r>
      </w:hyperlink>
      <w:r w:rsidRPr="0A805085">
        <w:rPr>
          <w:rFonts w:ascii="Times New Roman" w:hAnsi="Times New Roman" w:cs="Times New Roman"/>
          <w:sz w:val="24"/>
          <w:szCs w:val="24"/>
        </w:rPr>
        <w:t xml:space="preserve">, and U.S. Census Bureau </w:t>
      </w:r>
      <w:hyperlink r:id="rId19" w:anchor=":~:text=The%20Census%20Bureau's%20urban%2Drural,Final%20Criteria%20Federal%20Register%20Notice">
        <w:r w:rsidRPr="0A805085">
          <w:rPr>
            <w:rStyle w:val="Hyperlink"/>
            <w:rFonts w:ascii="Times New Roman" w:hAnsi="Times New Roman" w:cs="Times New Roman"/>
            <w:sz w:val="24"/>
            <w:szCs w:val="24"/>
          </w:rPr>
          <w:t>Urban and Rural Classification</w:t>
        </w:r>
      </w:hyperlink>
      <w:r w:rsidRPr="0A805085">
        <w:rPr>
          <w:rFonts w:ascii="Times New Roman" w:hAnsi="Times New Roman" w:cs="Times New Roman"/>
          <w:sz w:val="24"/>
          <w:szCs w:val="24"/>
        </w:rPr>
        <w:t>. NCHS utilizes a six-level urban-rural classification scheme for U.S. counties and other jurisdictions. Created in 2013, these classifications include large central metro counties (population of 1 million); large fringe metro counties that do not qualify as large central; medium metro counties (250,000-999,999 population), small metro counties (less than 250,000 population), micropolitan counties (at least 10,000 but less than 50,000), and non-core counties. The USDA code scheme utilizes the following code descriptions for metropolitan/non</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 xml:space="preserve">metropolitan counties: counties in metro areas of 1 million population or more (code 1), counties in metro areas of 250,000 to 1 million population (code 2), counties in metro areas of fewer than 250,000 population (code 3), urban population of 20,000 or more, adjacent to a metro area (code 4), urban population of 20,000 or more, not adjacent to a metro area (code 5), urban population of 5,000 to 20,000, adjacent to a metro area (code 6), urban population of 5,000 to 20,000, not adjacent to a metro area (code 7), urban population of fewer than 5,000, adjacent to a metro area (code 8), and urban population of fewer than 5,000, not adjacent to a metro area (code 9). Finally, the U.S. Census Bureau employs a more simplified system where an urban area is defined as a territory that encompasses at least 2,000 housing units or have a population of at least 5,000. By contrast, rural areas include all populations, housing and territory not included within an urban area. Of the three classification systems, the NCHS is utilized most for health-related studies within U.S. In the European Union, classification occurs in 3 categories: predominantly urban (at least 80% of the population live in urban clusters), intermediate regions (more than 50% but less than 80% of </w:t>
      </w:r>
      <w:r w:rsidRPr="0A805085">
        <w:rPr>
          <w:rFonts w:ascii="Times New Roman" w:hAnsi="Times New Roman" w:cs="Times New Roman"/>
          <w:sz w:val="24"/>
          <w:szCs w:val="24"/>
        </w:rPr>
        <w:lastRenderedPageBreak/>
        <w:t>the population live in urban clusters), and predominantly rural regions (at least 50% of the population live in rural grid cells) (</w:t>
      </w:r>
      <w:commentRangeStart w:id="30"/>
      <w:r w:rsidRPr="0A805085">
        <w:rPr>
          <w:rFonts w:ascii="Times New Roman" w:hAnsi="Times New Roman" w:cs="Times New Roman"/>
          <w:sz w:val="24"/>
          <w:szCs w:val="24"/>
        </w:rPr>
        <w:t>REF</w:t>
      </w:r>
      <w:commentRangeEnd w:id="30"/>
      <w:r w:rsidR="128E111D" w:rsidRPr="0A805085">
        <w:rPr>
          <w:rStyle w:val="CommentReference"/>
          <w:rFonts w:ascii="Times New Roman" w:eastAsia="Times New Roman" w:hAnsi="Times New Roman" w:cs="Times New Roman"/>
          <w:strike/>
          <w:sz w:val="24"/>
          <w:szCs w:val="24"/>
        </w:rPr>
        <w:commentReference w:id="30"/>
      </w:r>
      <w:r w:rsidRPr="0A805085">
        <w:rPr>
          <w:rFonts w:ascii="Times New Roman" w:eastAsia="Times New Roman" w:hAnsi="Times New Roman" w:cs="Times New Roman"/>
          <w:strike/>
          <w:sz w:val="24"/>
          <w:szCs w:val="24"/>
        </w:rPr>
        <w:t xml:space="preserve">). </w:t>
      </w:r>
      <w:r w:rsidRPr="0A805085">
        <w:rPr>
          <w:rFonts w:ascii="Times New Roman" w:hAnsi="Times New Roman" w:cs="Times New Roman"/>
          <w:sz w:val="24"/>
          <w:szCs w:val="24"/>
        </w:rPr>
        <w:t>While international definitions may vary, inclusion of whether the setting is urban or rural is helpful for analysis and extrapolation.</w:t>
      </w:r>
    </w:p>
    <w:p w14:paraId="24391DE4" w14:textId="77777777" w:rsidR="00455D85" w:rsidRPr="00075B5A" w:rsidRDefault="00455D85" w:rsidP="006563F6">
      <w:pPr>
        <w:spacing w:after="0" w:line="480" w:lineRule="auto"/>
        <w:rPr>
          <w:rFonts w:ascii="Times New Roman" w:hAnsi="Times New Roman" w:cs="Times New Roman"/>
          <w:sz w:val="24"/>
          <w:szCs w:val="24"/>
        </w:rPr>
      </w:pPr>
    </w:p>
    <w:p w14:paraId="412C4905" w14:textId="6BE66A23" w:rsidR="128E111D" w:rsidRDefault="128E111D" w:rsidP="006563F6">
      <w:p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sz w:val="24"/>
          <w:szCs w:val="24"/>
        </w:rPr>
        <w:t xml:space="preserve">Although the patient setting (i.e., emergency department, surgical ward, clinic, etc.) is often defined in most studies, other </w:t>
      </w:r>
      <w:r w:rsidR="00580922" w:rsidRPr="00075B5A">
        <w:rPr>
          <w:rFonts w:ascii="Times New Roman" w:eastAsia="Calibri" w:hAnsi="Times New Roman" w:cs="Times New Roman"/>
          <w:sz w:val="24"/>
          <w:szCs w:val="24"/>
        </w:rPr>
        <w:t>descriptors</w:t>
      </w:r>
      <w:r w:rsidRPr="00075B5A">
        <w:rPr>
          <w:rFonts w:ascii="Times New Roman" w:eastAsia="Calibri" w:hAnsi="Times New Roman" w:cs="Times New Roman"/>
          <w:sz w:val="24"/>
          <w:szCs w:val="24"/>
        </w:rPr>
        <w:t xml:space="preserve"> are often overlooked such as the type of institution (e.g., academic, cancer, community delivery, critical access, or ambulatory clinic), the size of the system (single medical center vs. large integrated  healthcare delivery system), size of the hospital (i.e., bed size), size of the laboratory (i.e., volume of testing performed), where the sample was collected (emergency department, outpatient setting, ICU, other inpatient wards, long term care, drive</w:t>
      </w:r>
      <w:r w:rsidR="00580922" w:rsidRPr="00075B5A">
        <w:rPr>
          <w:rFonts w:ascii="Times New Roman" w:eastAsia="Calibri" w:hAnsi="Times New Roman" w:cs="Times New Roman"/>
          <w:sz w:val="24"/>
          <w:szCs w:val="24"/>
        </w:rPr>
        <w:t>-</w:t>
      </w:r>
      <w:r w:rsidRPr="00075B5A">
        <w:rPr>
          <w:rFonts w:ascii="Times New Roman" w:eastAsia="Calibri" w:hAnsi="Times New Roman" w:cs="Times New Roman"/>
          <w:sz w:val="24"/>
          <w:szCs w:val="24"/>
        </w:rPr>
        <w:t xml:space="preserve">through sites, schools, ambulatory clinics) and </w:t>
      </w:r>
      <w:r w:rsidR="00580922" w:rsidRPr="00075B5A">
        <w:rPr>
          <w:rFonts w:ascii="Times New Roman" w:eastAsia="Calibri" w:hAnsi="Times New Roman" w:cs="Times New Roman"/>
          <w:sz w:val="24"/>
          <w:szCs w:val="24"/>
        </w:rPr>
        <w:t>where the sample was</w:t>
      </w:r>
      <w:r w:rsidRPr="00075B5A">
        <w:rPr>
          <w:rFonts w:ascii="Times New Roman" w:eastAsia="Calibri" w:hAnsi="Times New Roman" w:cs="Times New Roman"/>
          <w:sz w:val="24"/>
          <w:szCs w:val="24"/>
        </w:rPr>
        <w:t xml:space="preserve"> tested (point-of-care, in</w:t>
      </w:r>
      <w:r w:rsidR="00F825C6" w:rsidRPr="00075B5A">
        <w:rPr>
          <w:rFonts w:ascii="Times New Roman" w:eastAsia="Calibri" w:hAnsi="Times New Roman" w:cs="Times New Roman"/>
          <w:sz w:val="24"/>
          <w:szCs w:val="24"/>
        </w:rPr>
        <w:t>-</w:t>
      </w:r>
      <w:r w:rsidRPr="00075B5A">
        <w:rPr>
          <w:rFonts w:ascii="Times New Roman" w:eastAsia="Calibri" w:hAnsi="Times New Roman" w:cs="Times New Roman"/>
          <w:sz w:val="24"/>
          <w:szCs w:val="24"/>
        </w:rPr>
        <w:t xml:space="preserve">house laboratory or reference laboratory). This type of information is important to capture </w:t>
      </w:r>
      <w:r w:rsidR="00F825C6" w:rsidRPr="00075B5A">
        <w:rPr>
          <w:rFonts w:ascii="Times New Roman" w:eastAsia="Calibri" w:hAnsi="Times New Roman" w:cs="Times New Roman"/>
          <w:sz w:val="24"/>
          <w:szCs w:val="24"/>
        </w:rPr>
        <w:t>because</w:t>
      </w:r>
      <w:r w:rsidRPr="00075B5A">
        <w:rPr>
          <w:rFonts w:ascii="Times New Roman" w:eastAsia="Calibri" w:hAnsi="Times New Roman" w:cs="Times New Roman"/>
          <w:sz w:val="24"/>
          <w:szCs w:val="24"/>
        </w:rPr>
        <w:t xml:space="preserve"> one diagnostic test or its related algorithm may fit one clinical setting but not another.</w:t>
      </w:r>
    </w:p>
    <w:p w14:paraId="5AE6D63C" w14:textId="77777777" w:rsidR="00455D85" w:rsidRPr="00075B5A" w:rsidRDefault="00455D85" w:rsidP="006563F6">
      <w:pPr>
        <w:spacing w:after="0" w:line="480" w:lineRule="auto"/>
        <w:rPr>
          <w:rFonts w:ascii="Times New Roman" w:eastAsia="Calibri" w:hAnsi="Times New Roman" w:cs="Times New Roman"/>
          <w:sz w:val="24"/>
          <w:szCs w:val="24"/>
        </w:rPr>
      </w:pPr>
    </w:p>
    <w:p w14:paraId="1CFEBA6F" w14:textId="44645569" w:rsidR="128E111D" w:rsidRPr="00075B5A" w:rsidRDefault="128E111D" w:rsidP="00455D85">
      <w:p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sz w:val="24"/>
          <w:szCs w:val="24"/>
        </w:rPr>
        <w:t xml:space="preserve">One of the most critical demographic features to consider when developing a study is its sample size. </w:t>
      </w:r>
      <w:r w:rsidR="00D61308" w:rsidRPr="00075B5A">
        <w:rPr>
          <w:rFonts w:ascii="Times New Roman" w:eastAsia="Calibri" w:hAnsi="Times New Roman" w:cs="Times New Roman"/>
          <w:sz w:val="24"/>
          <w:szCs w:val="24"/>
        </w:rPr>
        <w:t>If</w:t>
      </w:r>
      <w:r w:rsidRPr="00075B5A">
        <w:rPr>
          <w:rFonts w:ascii="Times New Roman" w:eastAsia="Calibri" w:hAnsi="Times New Roman" w:cs="Times New Roman"/>
          <w:sz w:val="24"/>
          <w:szCs w:val="24"/>
        </w:rPr>
        <w:t xml:space="preserve"> the sample size of the study is too small, then one may introduce Type II errors (i.e., false negative results) especially when combined with moderately low or low effects sizes</w:t>
      </w:r>
      <w:r w:rsidR="006563F6" w:rsidRPr="00075B5A">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alias w:val="SmartCite Citation"/>
          <w:tag w:val="20a90c04-bbe1-4fd8-8697-1fe2ff9d2ce2:7b1301fa-cb1a-4f45-b102-a9b1c8f6e29e+"/>
          <w:id w:val="1917822734"/>
          <w:placeholder>
            <w:docPart w:val="DefaultPlaceholder_-1854013440"/>
          </w:placeholder>
        </w:sdtPr>
        <w:sdtEndPr>
          <w:rPr>
            <w:rFonts w:eastAsia="Times New Roman"/>
          </w:rPr>
        </w:sdtEndPr>
        <w:sdtContent>
          <w:r w:rsidR="006563F6" w:rsidRPr="00075B5A">
            <w:rPr>
              <w:rFonts w:ascii="Times New Roman" w:eastAsia="Times New Roman" w:hAnsi="Times New Roman" w:cs="Times New Roman"/>
              <w:sz w:val="24"/>
              <w:szCs w:val="24"/>
            </w:rPr>
            <w:t>(31)</w:t>
          </w:r>
        </w:sdtContent>
      </w:sdt>
      <w:r w:rsidRPr="00075B5A">
        <w:rPr>
          <w:rFonts w:ascii="Times New Roman" w:eastAsia="Calibri" w:hAnsi="Times New Roman" w:cs="Times New Roman"/>
          <w:sz w:val="24"/>
          <w:szCs w:val="24"/>
        </w:rPr>
        <w:t>.  To mitigate this type of error, careful consideration should be given to the power (calculated as “1 - Type II error probability”) of the study. A power ≥0.8 is considered ideal for study</w:t>
      </w:r>
      <w:r w:rsidR="00F6033E" w:rsidRPr="00075B5A">
        <w:rPr>
          <w:rFonts w:ascii="Times New Roman" w:eastAsia="Calibri" w:hAnsi="Times New Roman" w:cs="Times New Roman"/>
          <w:sz w:val="24"/>
          <w:szCs w:val="24"/>
        </w:rPr>
        <w:t>. A statistician can assist in calculating appropriate sample sizes.</w:t>
      </w:r>
    </w:p>
    <w:p w14:paraId="4EB23B1E" w14:textId="77777777" w:rsidR="00455D85" w:rsidRDefault="00455D85" w:rsidP="00455D85">
      <w:pPr>
        <w:spacing w:after="0" w:line="480" w:lineRule="auto"/>
        <w:rPr>
          <w:rFonts w:ascii="Times New Roman" w:eastAsia="Calibri" w:hAnsi="Times New Roman" w:cs="Times New Roman"/>
          <w:sz w:val="24"/>
          <w:szCs w:val="24"/>
        </w:rPr>
      </w:pPr>
    </w:p>
    <w:p w14:paraId="10F685EF" w14:textId="4070C8E4" w:rsidR="00A351B9" w:rsidRPr="00075B5A" w:rsidRDefault="00A351B9" w:rsidP="00A351B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While not a demographic, a</w:t>
      </w:r>
      <w:r w:rsidRPr="0A805085">
        <w:rPr>
          <w:rFonts w:ascii="Times New Roman" w:hAnsi="Times New Roman" w:cs="Times New Roman"/>
          <w:sz w:val="24"/>
          <w:szCs w:val="24"/>
        </w:rPr>
        <w:t>nother important consideration in the development of a study is the length of time that it will take to complete or the season(s) in which the study will take place. Timing/seasonality bias can be a major concern depending upon which test, algorithm or patient population is being evaluated therefore careful consideration should be given to when study designs are performed in sequence, such as Pre- and Post- Test Design. An example of seasonality bias would be the impact of Influenza A/B PCR on antiviral stewardship in the summer versus the winter.</w:t>
      </w:r>
      <w:r w:rsidRPr="0A805085">
        <w:rPr>
          <w:rFonts w:ascii="Times New Roman" w:eastAsia="Times New Roman" w:hAnsi="Times New Roman" w:cs="Times New Roman"/>
          <w:strike/>
          <w:sz w:val="24"/>
          <w:szCs w:val="24"/>
        </w:rPr>
        <w:t xml:space="preserve"> </w:t>
      </w:r>
    </w:p>
    <w:p w14:paraId="009C9C2B" w14:textId="77777777" w:rsidR="00A351B9" w:rsidRDefault="00A351B9" w:rsidP="00455D85">
      <w:pPr>
        <w:spacing w:after="0" w:line="480" w:lineRule="auto"/>
        <w:rPr>
          <w:rFonts w:ascii="Times New Roman" w:eastAsia="Calibri" w:hAnsi="Times New Roman" w:cs="Times New Roman"/>
          <w:sz w:val="24"/>
          <w:szCs w:val="24"/>
        </w:rPr>
      </w:pPr>
    </w:p>
    <w:p w14:paraId="07DA0021" w14:textId="1D8D3B8F" w:rsidR="00C03FED" w:rsidRDefault="128E111D" w:rsidP="00455D85">
      <w:p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sz w:val="24"/>
          <w:szCs w:val="24"/>
        </w:rPr>
        <w:t xml:space="preserve">Although the demographic information of one investigation may address the needs of a particular study’s objectives, this singular approach to criteria and derived data often are not </w:t>
      </w:r>
      <w:r w:rsidR="00F6033E" w:rsidRPr="00075B5A">
        <w:rPr>
          <w:rFonts w:ascii="Times New Roman" w:eastAsia="Calibri" w:hAnsi="Times New Roman" w:cs="Times New Roman"/>
          <w:sz w:val="24"/>
          <w:szCs w:val="24"/>
        </w:rPr>
        <w:t xml:space="preserve">in </w:t>
      </w:r>
      <w:r w:rsidRPr="00075B5A">
        <w:rPr>
          <w:rFonts w:ascii="Times New Roman" w:eastAsia="Calibri" w:hAnsi="Times New Roman" w:cs="Times New Roman"/>
          <w:sz w:val="24"/>
          <w:szCs w:val="24"/>
        </w:rPr>
        <w:t xml:space="preserve">alignment when several different studies are evaluated using a meta-analysis process. </w:t>
      </w:r>
      <w:r w:rsidR="000940CA">
        <w:rPr>
          <w:rFonts w:ascii="Times New Roman" w:eastAsia="Calibri" w:hAnsi="Times New Roman" w:cs="Times New Roman"/>
          <w:sz w:val="24"/>
          <w:szCs w:val="24"/>
        </w:rPr>
        <w:t xml:space="preserve">Standardization of </w:t>
      </w:r>
      <w:r w:rsidRPr="00075B5A">
        <w:rPr>
          <w:rFonts w:ascii="Times New Roman" w:eastAsia="Calibri" w:hAnsi="Times New Roman" w:cs="Times New Roman"/>
          <w:sz w:val="24"/>
          <w:szCs w:val="24"/>
        </w:rPr>
        <w:t xml:space="preserve">demographic data </w:t>
      </w:r>
      <w:r w:rsidR="00FD7CE8">
        <w:rPr>
          <w:rFonts w:ascii="Times New Roman" w:eastAsia="Calibri" w:hAnsi="Times New Roman" w:cs="Times New Roman"/>
          <w:sz w:val="24"/>
          <w:szCs w:val="24"/>
        </w:rPr>
        <w:t>would</w:t>
      </w:r>
      <w:r w:rsidRPr="00075B5A">
        <w:rPr>
          <w:rFonts w:ascii="Times New Roman" w:eastAsia="Calibri" w:hAnsi="Times New Roman" w:cs="Times New Roman"/>
          <w:sz w:val="24"/>
          <w:szCs w:val="24"/>
        </w:rPr>
        <w:t xml:space="preserve"> allow for a more straightforward extraction process of articles for meta-analysis and the development of </w:t>
      </w:r>
      <w:r w:rsidR="00FD7CE8">
        <w:rPr>
          <w:rFonts w:ascii="Times New Roman" w:eastAsia="Calibri" w:hAnsi="Times New Roman" w:cs="Times New Roman"/>
          <w:sz w:val="24"/>
          <w:szCs w:val="24"/>
        </w:rPr>
        <w:t>EBLMGs</w:t>
      </w:r>
      <w:r w:rsidRPr="00075B5A">
        <w:rPr>
          <w:rFonts w:ascii="Times New Roman" w:eastAsia="Calibri" w:hAnsi="Times New Roman" w:cs="Times New Roman"/>
          <w:sz w:val="24"/>
          <w:szCs w:val="24"/>
        </w:rPr>
        <w:t>.</w:t>
      </w:r>
      <w:r w:rsidR="00C671A3">
        <w:rPr>
          <w:rFonts w:ascii="Times New Roman" w:eastAsia="Calibri" w:hAnsi="Times New Roman" w:cs="Times New Roman"/>
          <w:sz w:val="24"/>
          <w:szCs w:val="24"/>
        </w:rPr>
        <w:t xml:space="preserve"> Refer to the LAB-SQUIRE 2.0 checklist for recommended demographic </w:t>
      </w:r>
      <w:r w:rsidR="00831501">
        <w:rPr>
          <w:rFonts w:ascii="Times New Roman" w:eastAsia="Calibri" w:hAnsi="Times New Roman" w:cs="Times New Roman"/>
          <w:sz w:val="24"/>
          <w:szCs w:val="24"/>
        </w:rPr>
        <w:t>criteria.</w:t>
      </w:r>
    </w:p>
    <w:p w14:paraId="22307400" w14:textId="77777777" w:rsidR="00455D85" w:rsidRPr="00075B5A" w:rsidRDefault="00455D85" w:rsidP="00455D85">
      <w:pPr>
        <w:spacing w:after="0" w:line="480" w:lineRule="auto"/>
        <w:rPr>
          <w:rFonts w:ascii="Times New Roman" w:eastAsia="Calibri" w:hAnsi="Times New Roman" w:cs="Times New Roman"/>
          <w:sz w:val="24"/>
          <w:szCs w:val="24"/>
        </w:rPr>
      </w:pPr>
    </w:p>
    <w:p w14:paraId="4D9654CC" w14:textId="76E3D754" w:rsidR="00DC7713" w:rsidRPr="00075B5A" w:rsidRDefault="128E111D" w:rsidP="006563F6">
      <w:pPr>
        <w:spacing w:after="0" w:line="480" w:lineRule="auto"/>
        <w:rPr>
          <w:rFonts w:ascii="Times New Roman" w:eastAsia="Times New Roman" w:hAnsi="Times New Roman" w:cs="Times New Roman"/>
          <w:b/>
          <w:bCs/>
          <w:sz w:val="24"/>
          <w:szCs w:val="24"/>
        </w:rPr>
      </w:pPr>
      <w:r w:rsidRPr="00075B5A">
        <w:rPr>
          <w:rFonts w:ascii="Times New Roman" w:eastAsia="Times New Roman" w:hAnsi="Times New Roman" w:cs="Times New Roman"/>
          <w:b/>
          <w:bCs/>
          <w:sz w:val="24"/>
          <w:szCs w:val="24"/>
        </w:rPr>
        <w:t xml:space="preserve">Outcome </w:t>
      </w:r>
      <w:r w:rsidR="00F40421">
        <w:rPr>
          <w:rFonts w:ascii="Times New Roman" w:eastAsia="Times New Roman" w:hAnsi="Times New Roman" w:cs="Times New Roman"/>
          <w:b/>
          <w:bCs/>
          <w:sz w:val="24"/>
          <w:szCs w:val="24"/>
        </w:rPr>
        <w:t>m</w:t>
      </w:r>
      <w:r w:rsidRPr="00075B5A">
        <w:rPr>
          <w:rFonts w:ascii="Times New Roman" w:eastAsia="Times New Roman" w:hAnsi="Times New Roman" w:cs="Times New Roman"/>
          <w:b/>
          <w:bCs/>
          <w:sz w:val="24"/>
          <w:szCs w:val="24"/>
        </w:rPr>
        <w:t>easurements</w:t>
      </w:r>
      <w:r w:rsidR="00831501">
        <w:rPr>
          <w:rFonts w:ascii="Times New Roman" w:eastAsia="Times New Roman" w:hAnsi="Times New Roman" w:cs="Times New Roman"/>
          <w:b/>
          <w:bCs/>
          <w:sz w:val="24"/>
          <w:szCs w:val="24"/>
        </w:rPr>
        <w:t xml:space="preserve"> and challenges</w:t>
      </w:r>
    </w:p>
    <w:p w14:paraId="624F21AB" w14:textId="2C162D2C" w:rsidR="00DC7713" w:rsidRPr="00075B5A" w:rsidRDefault="56F423E2" w:rsidP="00F40421">
      <w:pPr>
        <w:spacing w:after="0" w:line="480" w:lineRule="auto"/>
        <w:rPr>
          <w:rFonts w:ascii="Times New Roman" w:eastAsia="Times New Roman" w:hAnsi="Times New Roman" w:cs="Times New Roman"/>
          <w:sz w:val="24"/>
          <w:szCs w:val="24"/>
        </w:rPr>
      </w:pPr>
      <w:r w:rsidRPr="00075B5A">
        <w:rPr>
          <w:rFonts w:ascii="Times New Roman" w:eastAsia="Times New Roman" w:hAnsi="Times New Roman" w:cs="Times New Roman"/>
          <w:sz w:val="24"/>
          <w:szCs w:val="24"/>
        </w:rPr>
        <w:t>Diagnostic studies traditionally focus on the test’s technical and clinical accuracies. However, the true measure of a test's value lies in its impact on clinical decision-making, patient outcomes, and broader healthcare system effects including economic and operational impacts. To fully capture this impact, it is essential to conduct outcome studies that reflect real-world clinical settings and decision-making processes. When designing and conducting such studies, choosing outcome measurement metrics that clearly illustrate the test's influence across various healthcare pathways is important. Table XXX lists key outcome categories and examples. More outcome stud</w:t>
      </w:r>
      <w:r w:rsidR="00436843" w:rsidRPr="00075B5A">
        <w:rPr>
          <w:rFonts w:ascii="Times New Roman" w:eastAsia="Times New Roman" w:hAnsi="Times New Roman" w:cs="Times New Roman"/>
          <w:sz w:val="24"/>
          <w:szCs w:val="24"/>
        </w:rPr>
        <w:t xml:space="preserve">y </w:t>
      </w:r>
      <w:r w:rsidR="00436843" w:rsidRPr="00075B5A">
        <w:rPr>
          <w:rFonts w:ascii="Times New Roman" w:eastAsia="Times New Roman" w:hAnsi="Times New Roman" w:cs="Times New Roman"/>
          <w:sz w:val="24"/>
          <w:szCs w:val="24"/>
        </w:rPr>
        <w:lastRenderedPageBreak/>
        <w:t>examples</w:t>
      </w:r>
      <w:r w:rsidRPr="00075B5A">
        <w:rPr>
          <w:rFonts w:ascii="Times New Roman" w:eastAsia="Times New Roman" w:hAnsi="Times New Roman" w:cs="Times New Roman"/>
          <w:sz w:val="24"/>
          <w:szCs w:val="24"/>
        </w:rPr>
        <w:t xml:space="preserve"> can also be found from the </w:t>
      </w:r>
      <w:r w:rsidR="00F76A8A" w:rsidRPr="00075B5A">
        <w:rPr>
          <w:rFonts w:ascii="Times New Roman" w:eastAsia="Times New Roman" w:hAnsi="Times New Roman" w:cs="Times New Roman"/>
          <w:sz w:val="24"/>
          <w:szCs w:val="24"/>
        </w:rPr>
        <w:t>International Federal of Clinical Chemistry and Laboratory Medicine (</w:t>
      </w:r>
      <w:r w:rsidRPr="00075B5A">
        <w:rPr>
          <w:rFonts w:ascii="Times New Roman" w:eastAsia="Times New Roman" w:hAnsi="Times New Roman" w:cs="Times New Roman"/>
          <w:sz w:val="24"/>
          <w:szCs w:val="24"/>
        </w:rPr>
        <w:t>IFCC</w:t>
      </w:r>
      <w:r w:rsidR="00F76A8A" w:rsidRPr="00075B5A">
        <w:rPr>
          <w:rFonts w:ascii="Times New Roman" w:eastAsia="Times New Roman" w:hAnsi="Times New Roman" w:cs="Times New Roman"/>
          <w:sz w:val="24"/>
          <w:szCs w:val="24"/>
        </w:rPr>
        <w:t>)</w:t>
      </w:r>
      <w:r w:rsidRPr="00075B5A">
        <w:rPr>
          <w:rFonts w:ascii="Times New Roman" w:eastAsia="Times New Roman" w:hAnsi="Times New Roman" w:cs="Times New Roman"/>
          <w:sz w:val="24"/>
          <w:szCs w:val="24"/>
        </w:rPr>
        <w:t xml:space="preserve"> </w:t>
      </w:r>
      <w:r w:rsidR="00F76A8A" w:rsidRPr="00075B5A">
        <w:rPr>
          <w:rFonts w:ascii="Times New Roman" w:eastAsia="Times New Roman" w:hAnsi="Times New Roman" w:cs="Times New Roman"/>
          <w:sz w:val="24"/>
          <w:szCs w:val="24"/>
        </w:rPr>
        <w:t>Outcome Studies in Laboratory Medicine (OSLM)</w:t>
      </w:r>
      <w:r w:rsidRPr="00075B5A">
        <w:rPr>
          <w:rFonts w:ascii="Times New Roman" w:eastAsia="Times New Roman" w:hAnsi="Times New Roman" w:cs="Times New Roman"/>
          <w:sz w:val="24"/>
          <w:szCs w:val="24"/>
        </w:rPr>
        <w:t xml:space="preserve"> database (</w:t>
      </w:r>
      <w:commentRangeStart w:id="31"/>
      <w:r w:rsidRPr="00075B5A">
        <w:rPr>
          <w:rFonts w:ascii="Times New Roman" w:eastAsia="Times New Roman" w:hAnsi="Times New Roman" w:cs="Times New Roman"/>
          <w:sz w:val="24"/>
          <w:szCs w:val="24"/>
        </w:rPr>
        <w:t>REF</w:t>
      </w:r>
      <w:commentRangeEnd w:id="31"/>
      <w:r w:rsidR="26C99CCA" w:rsidRPr="00075B5A">
        <w:rPr>
          <w:rStyle w:val="CommentReference"/>
          <w:rFonts w:ascii="Times New Roman" w:eastAsia="Times New Roman" w:hAnsi="Times New Roman" w:cs="Times New Roman"/>
          <w:sz w:val="24"/>
          <w:szCs w:val="24"/>
        </w:rPr>
        <w:commentReference w:id="31"/>
      </w:r>
      <w:r w:rsidRPr="00075B5A">
        <w:rPr>
          <w:rFonts w:ascii="Times New Roman" w:eastAsia="Times New Roman" w:hAnsi="Times New Roman" w:cs="Times New Roman"/>
          <w:sz w:val="24"/>
          <w:szCs w:val="24"/>
        </w:rPr>
        <w:t xml:space="preserve">). </w:t>
      </w:r>
    </w:p>
    <w:p w14:paraId="0D99B044" w14:textId="77777777" w:rsidR="00F40421" w:rsidRDefault="00F40421" w:rsidP="00F40421">
      <w:pPr>
        <w:spacing w:after="0" w:line="480" w:lineRule="auto"/>
        <w:rPr>
          <w:rFonts w:ascii="Times New Roman" w:hAnsi="Times New Roman" w:cs="Times New Roman"/>
          <w:sz w:val="24"/>
          <w:szCs w:val="24"/>
        </w:rPr>
      </w:pPr>
    </w:p>
    <w:p w14:paraId="38EE43E7" w14:textId="244ACB5F" w:rsidR="00C835EC" w:rsidRDefault="0A805085" w:rsidP="00F40421">
      <w:pPr>
        <w:spacing w:after="0" w:line="480" w:lineRule="auto"/>
        <w:rPr>
          <w:rFonts w:ascii="Times New Roman" w:eastAsia="Times New Roman" w:hAnsi="Times New Roman" w:cs="Times New Roman"/>
          <w:strike/>
          <w:sz w:val="24"/>
          <w:szCs w:val="24"/>
        </w:rPr>
      </w:pPr>
      <w:r w:rsidRPr="0A805085">
        <w:rPr>
          <w:rFonts w:ascii="Times New Roman" w:hAnsi="Times New Roman" w:cs="Times New Roman"/>
          <w:sz w:val="24"/>
          <w:szCs w:val="24"/>
        </w:rPr>
        <w:t>Outcomes can be grouped as immediate, proximal, and distal health outcomes. Examples of immediate outcomes based on diagnostic tests are diagnostic accuracy (performance), time to a diagnosis/result</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 xml:space="preserve"> pathogen targets tested and prevalence/detection rate of each. Proximal health outcomes are time to therapy, length of hospital stay, length of stay in ICU, mortality, change in antibiotic/therapy, isolation/infection control actions, infection resolution</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 xml:space="preserve"> hospital admission, and readmission. Examples of distal outcomes may include cost or cost/benefit</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 xml:space="preserve"> reimbursement, and</w:t>
      </w:r>
      <w:r w:rsidRPr="0A805085">
        <w:rPr>
          <w:rFonts w:ascii="Times New Roman" w:eastAsia="Times New Roman" w:hAnsi="Times New Roman" w:cs="Times New Roman"/>
          <w:strike/>
          <w:sz w:val="24"/>
          <w:szCs w:val="24"/>
        </w:rPr>
        <w:t xml:space="preserve"> </w:t>
      </w:r>
      <w:r w:rsidRPr="0A805085">
        <w:rPr>
          <w:rFonts w:ascii="Times New Roman" w:hAnsi="Times New Roman" w:cs="Times New Roman"/>
          <w:sz w:val="24"/>
          <w:szCs w:val="24"/>
        </w:rPr>
        <w:t>long-term (multi-year) metrics</w:t>
      </w:r>
      <w:r w:rsidR="00B378F4">
        <w:rPr>
          <w:rFonts w:ascii="Times New Roman" w:eastAsia="Times New Roman" w:hAnsi="Times New Roman" w:cs="Times New Roman"/>
          <w:strike/>
          <w:sz w:val="24"/>
          <w:szCs w:val="24"/>
        </w:rPr>
        <w:t>.</w:t>
      </w:r>
    </w:p>
    <w:p w14:paraId="72491DB2" w14:textId="77777777" w:rsidR="00B378F4" w:rsidRPr="00075B5A" w:rsidRDefault="00B378F4" w:rsidP="00F40421">
      <w:pPr>
        <w:spacing w:after="0" w:line="480" w:lineRule="auto"/>
        <w:rPr>
          <w:rFonts w:ascii="Times New Roman" w:hAnsi="Times New Roman" w:cs="Times New Roman"/>
          <w:sz w:val="24"/>
          <w:szCs w:val="24"/>
        </w:rPr>
      </w:pPr>
    </w:p>
    <w:p w14:paraId="7AFC7199" w14:textId="0E174DE6" w:rsidR="00DC7713" w:rsidRDefault="3998FBA6" w:rsidP="006563F6">
      <w:pPr>
        <w:spacing w:after="0" w:line="480" w:lineRule="auto"/>
        <w:rPr>
          <w:rFonts w:ascii="Times New Roman" w:eastAsia="Times New Roman" w:hAnsi="Times New Roman" w:cs="Times New Roman"/>
          <w:sz w:val="24"/>
          <w:szCs w:val="24"/>
        </w:rPr>
      </w:pPr>
      <w:r w:rsidRPr="00075B5A">
        <w:rPr>
          <w:rFonts w:ascii="Times New Roman" w:eastAsia="Times New Roman" w:hAnsi="Times New Roman" w:cs="Times New Roman"/>
          <w:sz w:val="24"/>
          <w:szCs w:val="24"/>
        </w:rPr>
        <w:t>Evaluating outcomes in diagnostic studies requires navigating complex considerations to ensure the findings are relevant and actionable. Initially, it</w:t>
      </w:r>
      <w:r w:rsidR="005E74D9" w:rsidRPr="00075B5A">
        <w:rPr>
          <w:rFonts w:ascii="Times New Roman" w:eastAsia="Times New Roman" w:hAnsi="Times New Roman" w:cs="Times New Roman"/>
          <w:sz w:val="24"/>
          <w:szCs w:val="24"/>
        </w:rPr>
        <w:t xml:space="preserve"> i</w:t>
      </w:r>
      <w:r w:rsidRPr="00075B5A">
        <w:rPr>
          <w:rFonts w:ascii="Times New Roman" w:eastAsia="Times New Roman" w:hAnsi="Times New Roman" w:cs="Times New Roman"/>
          <w:sz w:val="24"/>
          <w:szCs w:val="24"/>
        </w:rPr>
        <w:t xml:space="preserve">s critical to identify the most meaningful outcomes for various stakeholders, such as patients who have undergone testing, healthcare professionals using these tests, and insurance providers </w:t>
      </w:r>
      <w:r w:rsidR="00924681" w:rsidRPr="00075B5A">
        <w:rPr>
          <w:rFonts w:ascii="Times New Roman" w:eastAsia="Times New Roman" w:hAnsi="Times New Roman" w:cs="Times New Roman"/>
          <w:sz w:val="24"/>
          <w:szCs w:val="24"/>
        </w:rPr>
        <w:t>paying for</w:t>
      </w:r>
      <w:r w:rsidRPr="00075B5A">
        <w:rPr>
          <w:rFonts w:ascii="Times New Roman" w:eastAsia="Times New Roman" w:hAnsi="Times New Roman" w:cs="Times New Roman"/>
          <w:sz w:val="24"/>
          <w:szCs w:val="24"/>
        </w:rPr>
        <w:t xml:space="preserve"> them. For example, a study on a new at</w:t>
      </w:r>
      <w:r w:rsidR="00924681" w:rsidRPr="00075B5A">
        <w:rPr>
          <w:rFonts w:ascii="Times New Roman" w:eastAsia="Times New Roman" w:hAnsi="Times New Roman" w:cs="Times New Roman"/>
          <w:sz w:val="24"/>
          <w:szCs w:val="24"/>
        </w:rPr>
        <w:t>-</w:t>
      </w:r>
      <w:r w:rsidRPr="00075B5A">
        <w:rPr>
          <w:rFonts w:ascii="Times New Roman" w:eastAsia="Times New Roman" w:hAnsi="Times New Roman" w:cs="Times New Roman"/>
          <w:sz w:val="24"/>
          <w:szCs w:val="24"/>
        </w:rPr>
        <w:t>home diabetes monitoring test might gather feedback from endocrinologists, diabetic patients, and healthcare insurers to identify pertinent outcomes like hospital visits, patient self-management skills, treatment efficacy and overall treatment costs. Secondly, linking diagnostic results directly to patient outcomes is challenging due to multiple intervening variables.</w:t>
      </w:r>
      <w:r w:rsidR="00677D74">
        <w:rPr>
          <w:rFonts w:ascii="Times New Roman" w:eastAsia="Times New Roman" w:hAnsi="Times New Roman" w:cs="Times New Roman"/>
          <w:sz w:val="24"/>
          <w:szCs w:val="24"/>
        </w:rPr>
        <w:t xml:space="preserve"> </w:t>
      </w:r>
      <w:r w:rsidRPr="00075B5A">
        <w:rPr>
          <w:rFonts w:ascii="Times New Roman" w:eastAsia="Times New Roman" w:hAnsi="Times New Roman" w:cs="Times New Roman"/>
          <w:sz w:val="24"/>
          <w:szCs w:val="24"/>
        </w:rPr>
        <w:t xml:space="preserve">Strategies like implementing control groups and employing statistical methods such as multivariable regression can help isolate the diagnostic tool's effects. For example, comparing patient outcomes like recovery times and antibiotic usage between groups diagnosed with traditional versus rapid testing methods for urinary tract infections, adjusted for variables such as </w:t>
      </w:r>
      <w:r w:rsidRPr="00075B5A">
        <w:rPr>
          <w:rFonts w:ascii="Times New Roman" w:eastAsia="Times New Roman" w:hAnsi="Times New Roman" w:cs="Times New Roman"/>
          <w:sz w:val="24"/>
          <w:szCs w:val="24"/>
        </w:rPr>
        <w:lastRenderedPageBreak/>
        <w:t xml:space="preserve">age and initial health status, can be effective. More detailed information regarding study designs and statistical analysis can be found in </w:t>
      </w:r>
      <w:r w:rsidR="005E74D9" w:rsidRPr="00075B5A">
        <w:rPr>
          <w:rFonts w:ascii="Times New Roman" w:eastAsia="Times New Roman" w:hAnsi="Times New Roman" w:cs="Times New Roman"/>
          <w:sz w:val="24"/>
          <w:szCs w:val="24"/>
        </w:rPr>
        <w:t xml:space="preserve">Table </w:t>
      </w:r>
      <w:r w:rsidRPr="00075B5A">
        <w:rPr>
          <w:rFonts w:ascii="Times New Roman" w:eastAsia="Times New Roman" w:hAnsi="Times New Roman" w:cs="Times New Roman"/>
          <w:sz w:val="24"/>
          <w:szCs w:val="24"/>
        </w:rPr>
        <w:t>XXX. Thirdly, measuring long-term and indirect outcomes can be challenging due to their delayed nature. Longitudinal studies or the use of existing long-term health databases to track outcomes over extended periods can offer solutions. For instance, utilizing a national health database to study the long-term effects of early cancer detection on healthcare costs and patient quality of life over a decade can be beneficial. Lastly, outcome measures may become outdated as diagnostic technologies and clinical practices evolve. Regularly updating the study protocol and outcome measures to align with current clinical guidelines and technological advancements is crucial.</w:t>
      </w:r>
    </w:p>
    <w:p w14:paraId="43E3AD5A" w14:textId="77777777" w:rsidR="00677D74" w:rsidRPr="00075B5A" w:rsidRDefault="00677D74" w:rsidP="006563F6">
      <w:pPr>
        <w:spacing w:after="0" w:line="480" w:lineRule="auto"/>
        <w:rPr>
          <w:rFonts w:ascii="Times New Roman" w:eastAsia="Times New Roman" w:hAnsi="Times New Roman" w:cs="Times New Roman"/>
          <w:sz w:val="24"/>
          <w:szCs w:val="24"/>
        </w:rPr>
      </w:pPr>
    </w:p>
    <w:p w14:paraId="34DA31F4" w14:textId="003E2764"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sz w:val="24"/>
          <w:szCs w:val="24"/>
        </w:rPr>
        <w:t xml:space="preserve">Transitioning from </w:t>
      </w:r>
      <w:r w:rsidR="00677D74">
        <w:rPr>
          <w:rFonts w:ascii="Times New Roman" w:eastAsia="Times New Roman" w:hAnsi="Times New Roman" w:cs="Times New Roman"/>
          <w:b/>
          <w:bCs/>
          <w:sz w:val="24"/>
          <w:szCs w:val="24"/>
        </w:rPr>
        <w:t>n</w:t>
      </w:r>
      <w:r w:rsidRPr="0A805085">
        <w:rPr>
          <w:rFonts w:ascii="Times New Roman" w:eastAsia="Times New Roman" w:hAnsi="Times New Roman" w:cs="Times New Roman"/>
          <w:b/>
          <w:bCs/>
          <w:sz w:val="24"/>
          <w:szCs w:val="24"/>
        </w:rPr>
        <w:t>on-</w:t>
      </w:r>
      <w:r w:rsidR="00677D74">
        <w:rPr>
          <w:rFonts w:ascii="Times New Roman" w:eastAsia="Times New Roman" w:hAnsi="Times New Roman" w:cs="Times New Roman"/>
          <w:b/>
          <w:bCs/>
          <w:sz w:val="24"/>
          <w:szCs w:val="24"/>
        </w:rPr>
        <w:t>o</w:t>
      </w:r>
      <w:r w:rsidRPr="0A805085">
        <w:rPr>
          <w:rFonts w:ascii="Times New Roman" w:eastAsia="Times New Roman" w:hAnsi="Times New Roman" w:cs="Times New Roman"/>
          <w:b/>
          <w:bCs/>
          <w:sz w:val="24"/>
          <w:szCs w:val="24"/>
        </w:rPr>
        <w:t xml:space="preserve">utcome to </w:t>
      </w:r>
      <w:r w:rsidR="00677D74">
        <w:rPr>
          <w:rFonts w:ascii="Times New Roman" w:eastAsia="Times New Roman" w:hAnsi="Times New Roman" w:cs="Times New Roman"/>
          <w:b/>
          <w:bCs/>
          <w:sz w:val="24"/>
          <w:szCs w:val="24"/>
        </w:rPr>
        <w:t>o</w:t>
      </w:r>
      <w:r w:rsidRPr="0A805085">
        <w:rPr>
          <w:rFonts w:ascii="Times New Roman" w:eastAsia="Times New Roman" w:hAnsi="Times New Roman" w:cs="Times New Roman"/>
          <w:b/>
          <w:bCs/>
          <w:sz w:val="24"/>
          <w:szCs w:val="24"/>
        </w:rPr>
        <w:t xml:space="preserve">utcome </w:t>
      </w:r>
      <w:r w:rsidR="00677D74">
        <w:rPr>
          <w:rFonts w:ascii="Times New Roman" w:eastAsia="Times New Roman" w:hAnsi="Times New Roman" w:cs="Times New Roman"/>
          <w:b/>
          <w:bCs/>
          <w:sz w:val="24"/>
          <w:szCs w:val="24"/>
        </w:rPr>
        <w:t>s</w:t>
      </w:r>
      <w:r w:rsidRPr="0A805085">
        <w:rPr>
          <w:rFonts w:ascii="Times New Roman" w:eastAsia="Times New Roman" w:hAnsi="Times New Roman" w:cs="Times New Roman"/>
          <w:b/>
          <w:bCs/>
          <w:sz w:val="24"/>
          <w:szCs w:val="24"/>
        </w:rPr>
        <w:t>tudies</w:t>
      </w:r>
    </w:p>
    <w:p w14:paraId="2CA0506C" w14:textId="4BE3C927" w:rsidR="00DC7713" w:rsidRPr="00075B5A" w:rsidRDefault="3998FBA6" w:rsidP="006563F6">
      <w:pPr>
        <w:spacing w:after="0" w:line="480" w:lineRule="auto"/>
        <w:rPr>
          <w:rFonts w:ascii="Times New Roman" w:eastAsia="Times New Roman" w:hAnsi="Times New Roman" w:cs="Times New Roman"/>
          <w:sz w:val="24"/>
          <w:szCs w:val="24"/>
        </w:rPr>
      </w:pPr>
      <w:r w:rsidRPr="00075B5A">
        <w:rPr>
          <w:rFonts w:ascii="Times New Roman" w:eastAsia="Times New Roman" w:hAnsi="Times New Roman" w:cs="Times New Roman"/>
          <w:sz w:val="24"/>
          <w:szCs w:val="24"/>
        </w:rPr>
        <w:t>Non-</w:t>
      </w:r>
      <w:r w:rsidR="00677D74">
        <w:rPr>
          <w:rFonts w:ascii="Times New Roman" w:eastAsia="Times New Roman" w:hAnsi="Times New Roman" w:cs="Times New Roman"/>
          <w:sz w:val="24"/>
          <w:szCs w:val="24"/>
        </w:rPr>
        <w:t>o</w:t>
      </w:r>
      <w:r w:rsidRPr="00075B5A">
        <w:rPr>
          <w:rFonts w:ascii="Times New Roman" w:eastAsia="Times New Roman" w:hAnsi="Times New Roman" w:cs="Times New Roman"/>
          <w:sz w:val="24"/>
          <w:szCs w:val="24"/>
        </w:rPr>
        <w:t xml:space="preserve">utcome </w:t>
      </w:r>
      <w:r w:rsidR="009F6AA2" w:rsidRPr="00075B5A">
        <w:rPr>
          <w:rFonts w:ascii="Times New Roman" w:eastAsia="Times New Roman" w:hAnsi="Times New Roman" w:cs="Times New Roman"/>
          <w:sz w:val="24"/>
          <w:szCs w:val="24"/>
        </w:rPr>
        <w:t>s</w:t>
      </w:r>
      <w:r w:rsidRPr="00075B5A">
        <w:rPr>
          <w:rFonts w:ascii="Times New Roman" w:eastAsia="Times New Roman" w:hAnsi="Times New Roman" w:cs="Times New Roman"/>
          <w:sz w:val="24"/>
          <w:szCs w:val="24"/>
        </w:rPr>
        <w:t>tudies typically focus on diagnostic accuracy</w:t>
      </w:r>
      <w:r w:rsidR="00677D74">
        <w:rPr>
          <w:rFonts w:ascii="Times New Roman" w:eastAsia="Times New Roman" w:hAnsi="Times New Roman" w:cs="Times New Roman"/>
          <w:sz w:val="24"/>
          <w:szCs w:val="24"/>
        </w:rPr>
        <w:t xml:space="preserve">, </w:t>
      </w:r>
      <w:r w:rsidR="005555FA">
        <w:rPr>
          <w:rFonts w:ascii="Times New Roman" w:eastAsia="Times New Roman" w:hAnsi="Times New Roman" w:cs="Times New Roman"/>
          <w:sz w:val="24"/>
          <w:szCs w:val="24"/>
        </w:rPr>
        <w:t>i.e.</w:t>
      </w:r>
      <w:r w:rsidR="00677D74">
        <w:rPr>
          <w:rFonts w:ascii="Times New Roman" w:eastAsia="Times New Roman" w:hAnsi="Times New Roman" w:cs="Times New Roman"/>
          <w:sz w:val="24"/>
          <w:szCs w:val="24"/>
        </w:rPr>
        <w:t xml:space="preserve"> </w:t>
      </w:r>
      <w:r w:rsidRPr="00075B5A">
        <w:rPr>
          <w:rFonts w:ascii="Times New Roman" w:eastAsia="Times New Roman" w:hAnsi="Times New Roman" w:cs="Times New Roman"/>
          <w:sz w:val="24"/>
          <w:szCs w:val="24"/>
        </w:rPr>
        <w:t xml:space="preserve">how well a test identifies a condition. Transitioning to outcome-based studies involves expanding these evaluations to include how early detection influences treatment choices, changes in patient care plans, and ultimately, patient quality of life and disease progression </w:t>
      </w:r>
      <w:commentRangeStart w:id="32"/>
      <w:r w:rsidRPr="00075B5A">
        <w:rPr>
          <w:rFonts w:ascii="Times New Roman" w:eastAsia="Times New Roman" w:hAnsi="Times New Roman" w:cs="Times New Roman"/>
          <w:sz w:val="24"/>
          <w:szCs w:val="24"/>
        </w:rPr>
        <w:t>(REF).</w:t>
      </w:r>
      <w:commentRangeEnd w:id="32"/>
      <w:r w:rsidR="26C99CCA" w:rsidRPr="00075B5A">
        <w:rPr>
          <w:rStyle w:val="CommentReference"/>
          <w:rFonts w:ascii="Times New Roman" w:eastAsia="Times New Roman" w:hAnsi="Times New Roman" w:cs="Times New Roman"/>
          <w:sz w:val="24"/>
          <w:szCs w:val="24"/>
        </w:rPr>
        <w:commentReference w:id="32"/>
      </w:r>
    </w:p>
    <w:p w14:paraId="04D88B47" w14:textId="77777777" w:rsidR="002B0DC7" w:rsidRDefault="002B0DC7" w:rsidP="006563F6">
      <w:pPr>
        <w:spacing w:after="0" w:line="480" w:lineRule="auto"/>
        <w:rPr>
          <w:rFonts w:ascii="Times New Roman" w:eastAsia="Times New Roman" w:hAnsi="Times New Roman" w:cs="Times New Roman"/>
          <w:sz w:val="24"/>
          <w:szCs w:val="24"/>
        </w:rPr>
      </w:pPr>
    </w:p>
    <w:p w14:paraId="2397A8AB" w14:textId="51476F7B" w:rsidR="00DC7713" w:rsidRDefault="0A805085" w:rsidP="006563F6">
      <w:pPr>
        <w:spacing w:after="0" w:line="480" w:lineRule="auto"/>
        <w:rPr>
          <w:rFonts w:ascii="Times New Roman" w:eastAsia="Times New Roman" w:hAnsi="Times New Roman" w:cs="Times New Roman"/>
          <w:sz w:val="24"/>
          <w:szCs w:val="24"/>
        </w:rPr>
      </w:pPr>
      <w:r w:rsidRPr="0A805085">
        <w:rPr>
          <w:rFonts w:ascii="Times New Roman" w:eastAsia="Times New Roman" w:hAnsi="Times New Roman" w:cs="Times New Roman"/>
          <w:sz w:val="24"/>
          <w:szCs w:val="24"/>
        </w:rPr>
        <w:t xml:space="preserve">To transform a non-outcome study into one that yields more valuable insights into patient care, researchers need to broaden their approach. This involves extending the framework to collect and analyze data on how diagnostic results influence not only immediate and proximal clinical practice and patient management changes, but also distal health outcomes, where possible. For example, a study initially focusing on the detection rates of a new biomarker for lung cancer should expand to monitor how early detection impacts treatment protocols, such as choices of surgery, chemotherapy, radiation therapy, or targeted therapy, and how these choices affect </w:t>
      </w:r>
      <w:r w:rsidRPr="0A805085">
        <w:rPr>
          <w:rFonts w:ascii="Times New Roman" w:eastAsia="Times New Roman" w:hAnsi="Times New Roman" w:cs="Times New Roman"/>
          <w:sz w:val="24"/>
          <w:szCs w:val="24"/>
        </w:rPr>
        <w:lastRenderedPageBreak/>
        <w:t>patient recovery and survival rates. Further, incorporating a longitudinal component to track patients over time can provide insights into long-term outcomes, assessing not just immediate treatment decisions but also long-term survival rates, disease recurrence, and quality of life. Engaging with clinical teams who use these diagnostics can aid in understanding and documenting changes in clinical practices resulting from test results. This interaction also offers insights into implementation barriers and areas for improvement in test utilization. Utilizing real-world data from electronic health records, patient registries, or health information networks can enrich the study with practical relevance, offering a broader perspective on the diagnostic test's performance outside controlled trial settings. Expanding the analysis to include economic, operational, and patient satisfaction metrics can provide a more comprehensive view of the test’s impact, such as evaluating cost savings from avoided unnecessary procedures, improvements in workflow efficiency, or increased patient satisfaction due to faster diagnosis and tailored treatments. When measurement of distal outcomes is not feasible, consider modeling to forecast distal outcomes.</w:t>
      </w:r>
    </w:p>
    <w:p w14:paraId="292E4A1F" w14:textId="77777777" w:rsidR="00F43D5F" w:rsidRPr="00075B5A" w:rsidRDefault="00F43D5F" w:rsidP="006563F6">
      <w:pPr>
        <w:spacing w:after="0" w:line="480" w:lineRule="auto"/>
        <w:rPr>
          <w:rFonts w:ascii="Times New Roman" w:hAnsi="Times New Roman" w:cs="Times New Roman"/>
          <w:sz w:val="24"/>
          <w:szCs w:val="24"/>
        </w:rPr>
      </w:pPr>
    </w:p>
    <w:p w14:paraId="0CBE3F22" w14:textId="4E6F2FD5"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sz w:val="24"/>
          <w:szCs w:val="24"/>
        </w:rPr>
        <w:t>By adopting these approaches, researchers can enhance the relevance and applicability of their studies, ensuring that the findings not only demonstrate the technical capabilities of diagnostic tests but also their practical benefits in improving patient care and healthcare outcomes.</w:t>
      </w:r>
    </w:p>
    <w:p w14:paraId="3EAAD692" w14:textId="1E03BE76" w:rsidR="00DC7713" w:rsidRPr="00075B5A" w:rsidRDefault="00DC7713" w:rsidP="006563F6">
      <w:pPr>
        <w:spacing w:after="0" w:line="480" w:lineRule="auto"/>
        <w:rPr>
          <w:rFonts w:ascii="Times New Roman" w:hAnsi="Times New Roman" w:cs="Times New Roman"/>
          <w:sz w:val="24"/>
          <w:szCs w:val="24"/>
        </w:rPr>
      </w:pPr>
    </w:p>
    <w:p w14:paraId="1C71A145" w14:textId="721E20E7" w:rsidR="00DC7713" w:rsidRPr="00075B5A" w:rsidRDefault="00DC7713" w:rsidP="006563F6">
      <w:pPr>
        <w:spacing w:after="0" w:line="480" w:lineRule="auto"/>
        <w:rPr>
          <w:rFonts w:ascii="Times New Roman" w:hAnsi="Times New Roman" w:cs="Times New Roman"/>
          <w:sz w:val="24"/>
          <w:szCs w:val="24"/>
        </w:rPr>
      </w:pPr>
    </w:p>
    <w:p w14:paraId="258286A2" w14:textId="333772F1"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sz w:val="24"/>
          <w:szCs w:val="24"/>
          <w:highlight w:val="yellow"/>
        </w:rPr>
        <w:t>Table XXX</w:t>
      </w:r>
    </w:p>
    <w:p w14:paraId="561788A0" w14:textId="4935CF69"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sz w:val="24"/>
          <w:szCs w:val="24"/>
        </w:rPr>
        <w:t xml:space="preserve"> </w:t>
      </w:r>
    </w:p>
    <w:p w14:paraId="2A44FA33" w14:textId="0BC61171"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sz w:val="24"/>
          <w:szCs w:val="24"/>
        </w:rPr>
        <w:t xml:space="preserve"> </w:t>
      </w:r>
    </w:p>
    <w:tbl>
      <w:tblPr>
        <w:tblW w:w="9485"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341"/>
        <w:gridCol w:w="1938"/>
        <w:gridCol w:w="6206"/>
      </w:tblGrid>
      <w:tr w:rsidR="26C99CCA" w:rsidRPr="00075B5A" w14:paraId="4C61D112"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376FAA98" w14:textId="71BAB98B"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lastRenderedPageBreak/>
              <w:t>Outcome Category</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633E8DFB" w14:textId="16D1D05B"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Description</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55301DA5" w14:textId="1F27F370"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Detailed Examples</w:t>
            </w:r>
          </w:p>
        </w:tc>
      </w:tr>
      <w:tr w:rsidR="26C99CCA" w:rsidRPr="00075B5A" w14:paraId="7E3F71F8"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455779C" w14:textId="43F56E7A"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Clinical Outcomes</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D47D30D" w14:textId="4EC561DB"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Assessing the impact of laboratory tests on improving diagnosis and treatment outcomes and quality of care.</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77A99536" w14:textId="25CA480D"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Mortality and Morbidity</w:t>
            </w:r>
            <w:r w:rsidRPr="0A805085">
              <w:rPr>
                <w:rFonts w:ascii="Times New Roman" w:eastAsia="Times New Roman" w:hAnsi="Times New Roman" w:cs="Times New Roman"/>
                <w:color w:val="000000" w:themeColor="text1"/>
                <w:sz w:val="24"/>
                <w:szCs w:val="24"/>
              </w:rPr>
              <w:t>: Analyzing reductions in mortality and morbidity from the use of high-sensitivity t</w:t>
            </w:r>
            <w:r w:rsidRPr="0A805085">
              <w:rPr>
                <w:rFonts w:ascii="Times New Roman" w:eastAsiaTheme="minorEastAsia" w:hAnsi="Times New Roman" w:cs="Times New Roman"/>
                <w:color w:val="000000" w:themeColor="text1"/>
                <w:sz w:val="24"/>
                <w:szCs w:val="24"/>
              </w:rPr>
              <w:t>roponin for quicker diagnosis of myocardial infarction (PMID: 33752439).</w:t>
            </w:r>
          </w:p>
          <w:p w14:paraId="246689A9" w14:textId="6789CB36"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Disease Progression</w:t>
            </w:r>
            <w:r w:rsidRPr="0A805085">
              <w:rPr>
                <w:rFonts w:ascii="Times New Roman" w:eastAsia="Times New Roman" w:hAnsi="Times New Roman" w:cs="Times New Roman"/>
                <w:color w:val="000000" w:themeColor="text1"/>
                <w:sz w:val="24"/>
                <w:szCs w:val="24"/>
              </w:rPr>
              <w:t>: Evaluating how early detection of specific mutations through molecular tests influences treatment protocols and patient survival rates (PMID: 34592968).</w:t>
            </w:r>
          </w:p>
          <w:p w14:paraId="611D229B" w14:textId="511DE831"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Patient Treatment Duration:</w:t>
            </w:r>
            <w:r w:rsidRPr="0A805085">
              <w:rPr>
                <w:rFonts w:ascii="Times New Roman" w:eastAsia="Times New Roman" w:hAnsi="Times New Roman" w:cs="Times New Roman"/>
                <w:color w:val="000000" w:themeColor="text1"/>
                <w:sz w:val="24"/>
                <w:szCs w:val="24"/>
              </w:rPr>
              <w:t xml:space="preserve"> Measuring changes in treatment duration time after implementing new diagnostic prot</w:t>
            </w:r>
            <w:r w:rsidRPr="0A805085">
              <w:rPr>
                <w:rFonts w:ascii="Times New Roman" w:eastAsiaTheme="minorEastAsia" w:hAnsi="Times New Roman" w:cs="Times New Roman"/>
                <w:color w:val="000000" w:themeColor="text1"/>
                <w:sz w:val="24"/>
                <w:szCs w:val="24"/>
              </w:rPr>
              <w:t>ocols, for instance, shortened treatment duration due to timely and accurate pathogen identification (PMID: 27569710).</w:t>
            </w:r>
          </w:p>
        </w:tc>
      </w:tr>
      <w:tr w:rsidR="26C99CCA" w:rsidRPr="00075B5A" w14:paraId="2F8282BB"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787D708A" w14:textId="34D59C0B"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 xml:space="preserve">Change of patient management </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51B87154" w14:textId="7918DED6"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D0D0D" w:themeColor="text1" w:themeTint="F2"/>
                <w:sz w:val="24"/>
                <w:szCs w:val="24"/>
              </w:rPr>
              <w:t>Measuring how diagnostics influence treatment decisions, patient safety, and overall treatment outcomes.</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D668A16" w14:textId="348BB5C0"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Treatment Optimization</w:t>
            </w:r>
            <w:r w:rsidRPr="0A805085">
              <w:rPr>
                <w:rFonts w:ascii="Times New Roman" w:eastAsia="Times New Roman" w:hAnsi="Times New Roman" w:cs="Times New Roman"/>
                <w:color w:val="000000" w:themeColor="text1"/>
                <w:sz w:val="24"/>
                <w:szCs w:val="24"/>
              </w:rPr>
              <w:t>: Point-of-care (POCT) HIV viral load testing allows for immediate adjustments in antiretroviral therapy (</w:t>
            </w:r>
            <w:r w:rsidRPr="0A805085">
              <w:rPr>
                <w:rFonts w:ascii="Times New Roman" w:eastAsiaTheme="minorEastAsia" w:hAnsi="Times New Roman" w:cs="Times New Roman"/>
                <w:color w:val="000000" w:themeColor="text1"/>
                <w:sz w:val="24"/>
                <w:szCs w:val="24"/>
              </w:rPr>
              <w:t>PMID: 35987208).</w:t>
            </w:r>
          </w:p>
          <w:p w14:paraId="51F4BD9B" w14:textId="6F61654C" w:rsidR="26C99CCA" w:rsidRPr="00075B5A" w:rsidRDefault="56F423E2" w:rsidP="006563F6">
            <w:pPr>
              <w:pStyle w:val="Heading1"/>
              <w:shd w:val="clear" w:color="auto" w:fill="FFFFFF" w:themeFill="background1"/>
              <w:spacing w:before="0" w:line="480" w:lineRule="auto"/>
              <w:rPr>
                <w:rFonts w:ascii="Times New Roman" w:eastAsia="Times New Roman" w:hAnsi="Times New Roman" w:cs="Times New Roman"/>
                <w:color w:val="000000" w:themeColor="text1"/>
                <w:sz w:val="24"/>
                <w:szCs w:val="24"/>
              </w:rPr>
            </w:pPr>
            <w:r w:rsidRPr="00075B5A">
              <w:rPr>
                <w:rFonts w:ascii="Times New Roman" w:eastAsia="Times New Roman" w:hAnsi="Times New Roman" w:cs="Times New Roman"/>
                <w:b/>
                <w:bCs/>
                <w:color w:val="000000" w:themeColor="text1"/>
                <w:sz w:val="24"/>
                <w:szCs w:val="24"/>
              </w:rPr>
              <w:lastRenderedPageBreak/>
              <w:t>Admission Decision:</w:t>
            </w:r>
            <w:r w:rsidRPr="00075B5A">
              <w:rPr>
                <w:rFonts w:ascii="Times New Roman" w:eastAsia="Times New Roman" w:hAnsi="Times New Roman" w:cs="Times New Roman"/>
                <w:color w:val="000000" w:themeColor="text1"/>
                <w:sz w:val="24"/>
                <w:szCs w:val="24"/>
              </w:rPr>
              <w:t xml:space="preserve"> High-sensitivity cardiac troponin tests in emergency settings enable safe rule-out of </w:t>
            </w:r>
            <w:r w:rsidRPr="00075B5A">
              <w:rPr>
                <w:rFonts w:ascii="Times New Roman" w:eastAsia="Merriweather" w:hAnsi="Times New Roman" w:cs="Times New Roman"/>
                <w:color w:val="212121"/>
                <w:sz w:val="24"/>
                <w:szCs w:val="24"/>
              </w:rPr>
              <w:t>acute myocardial infarction and successful discharge</w:t>
            </w:r>
            <w:r w:rsidRPr="00075B5A">
              <w:rPr>
                <w:rFonts w:ascii="Times New Roman" w:eastAsia="Merriweather" w:hAnsi="Times New Roman" w:cs="Times New Roman"/>
                <w:b/>
                <w:bCs/>
                <w:color w:val="212121"/>
                <w:sz w:val="24"/>
                <w:szCs w:val="24"/>
              </w:rPr>
              <w:t xml:space="preserve"> (</w:t>
            </w:r>
            <w:r w:rsidRPr="00075B5A">
              <w:rPr>
                <w:rFonts w:ascii="Times New Roman" w:eastAsia="Segoe UI" w:hAnsi="Times New Roman" w:cs="Times New Roman"/>
                <w:color w:val="212121"/>
                <w:sz w:val="24"/>
                <w:szCs w:val="24"/>
              </w:rPr>
              <w:t>PMID: 34391791)</w:t>
            </w:r>
          </w:p>
          <w:p w14:paraId="26ABBAFC" w14:textId="377EE250" w:rsidR="26C99CCA" w:rsidRPr="00075B5A" w:rsidRDefault="56F423E2" w:rsidP="006563F6">
            <w:pPr>
              <w:pStyle w:val="Heading1"/>
              <w:shd w:val="clear" w:color="auto" w:fill="FFFFFF" w:themeFill="background1"/>
              <w:spacing w:before="0" w:line="480" w:lineRule="auto"/>
              <w:rPr>
                <w:rFonts w:ascii="Times New Roman" w:eastAsia="Times New Roman" w:hAnsi="Times New Roman" w:cs="Times New Roman"/>
                <w:color w:val="000000" w:themeColor="text1"/>
                <w:sz w:val="24"/>
                <w:szCs w:val="24"/>
              </w:rPr>
            </w:pPr>
            <w:r w:rsidRPr="00075B5A">
              <w:rPr>
                <w:rFonts w:ascii="Times New Roman" w:eastAsia="Times New Roman" w:hAnsi="Times New Roman" w:cs="Times New Roman"/>
                <w:b/>
                <w:bCs/>
                <w:color w:val="000000" w:themeColor="text1"/>
                <w:sz w:val="24"/>
                <w:szCs w:val="24"/>
              </w:rPr>
              <w:t>Guided Therapy:</w:t>
            </w:r>
            <w:r w:rsidRPr="00075B5A">
              <w:rPr>
                <w:rFonts w:ascii="Times New Roman" w:eastAsia="Times New Roman" w:hAnsi="Times New Roman" w:cs="Times New Roman"/>
                <w:color w:val="000000" w:themeColor="text1"/>
                <w:sz w:val="24"/>
                <w:szCs w:val="24"/>
              </w:rPr>
              <w:t xml:space="preserve"> The use of genetic testing in oncology to determine patient-specific tumor markers that guide targeted therapy (</w:t>
            </w:r>
            <w:r w:rsidRPr="00075B5A">
              <w:rPr>
                <w:rFonts w:ascii="Times New Roman" w:eastAsia="Segoe UI" w:hAnsi="Times New Roman" w:cs="Times New Roman"/>
                <w:color w:val="212121"/>
                <w:sz w:val="24"/>
                <w:szCs w:val="24"/>
              </w:rPr>
              <w:t>PMID: 37459099</w:t>
            </w:r>
            <w:r w:rsidRPr="00075B5A">
              <w:rPr>
                <w:rFonts w:ascii="Times New Roman" w:eastAsia="Times New Roman" w:hAnsi="Times New Roman" w:cs="Times New Roman"/>
                <w:color w:val="000000" w:themeColor="text1"/>
                <w:sz w:val="24"/>
                <w:szCs w:val="24"/>
              </w:rPr>
              <w:t>).</w:t>
            </w:r>
          </w:p>
        </w:tc>
      </w:tr>
      <w:tr w:rsidR="26C99CCA" w:rsidRPr="00075B5A" w14:paraId="54767FFC"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82C6BC6" w14:textId="0A3CE210"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lastRenderedPageBreak/>
              <w:t>Operational Efficiency</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CA104A2" w14:textId="485A91E0"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Evaluating how laboratory tests affect the efficiency of healthcare delivery and process improvements.</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890C115" w14:textId="2B48E40E"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 xml:space="preserve">Length of Stay: </w:t>
            </w:r>
            <w:r w:rsidRPr="0A805085">
              <w:rPr>
                <w:rFonts w:ascii="Times New Roman" w:eastAsia="Times New Roman" w:hAnsi="Times New Roman" w:cs="Times New Roman"/>
                <w:color w:val="000000" w:themeColor="text1"/>
                <w:sz w:val="24"/>
                <w:szCs w:val="24"/>
              </w:rPr>
              <w:t>Demonstrating how rapid diagnostic tests for conditions like sepsis or myocardial infarction can decrease the length of stays by enabling quicker clinical decisions (</w:t>
            </w:r>
            <w:r w:rsidRPr="0A805085">
              <w:rPr>
                <w:rFonts w:ascii="Times New Roman" w:eastAsia="Segoe UI" w:hAnsi="Times New Roman" w:cs="Times New Roman"/>
                <w:color w:val="212121"/>
                <w:sz w:val="24"/>
                <w:szCs w:val="24"/>
              </w:rPr>
              <w:t>PMID: 37993739</w:t>
            </w:r>
            <w:r w:rsidRPr="0A805085">
              <w:rPr>
                <w:rFonts w:ascii="Times New Roman" w:eastAsia="Times New Roman" w:hAnsi="Times New Roman" w:cs="Times New Roman"/>
                <w:color w:val="000000" w:themeColor="text1"/>
                <w:sz w:val="24"/>
                <w:szCs w:val="24"/>
              </w:rPr>
              <w:t>).</w:t>
            </w:r>
          </w:p>
          <w:p w14:paraId="6BCAFBED" w14:textId="312EDC17"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Patient Throughput</w:t>
            </w:r>
            <w:r w:rsidRPr="0A805085">
              <w:rPr>
                <w:rFonts w:ascii="Times New Roman" w:eastAsia="Times New Roman" w:hAnsi="Times New Roman" w:cs="Times New Roman"/>
                <w:color w:val="000000" w:themeColor="text1"/>
                <w:sz w:val="24"/>
                <w:szCs w:val="24"/>
              </w:rPr>
              <w:t>: Measuring improvements in patient flow and reduction in wait times with the introduction of rapid infectious disease panels during peak flu season.</w:t>
            </w:r>
          </w:p>
          <w:p w14:paraId="32B2B9F9" w14:textId="16570105"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Procedure Efficiency</w:t>
            </w:r>
            <w:r w:rsidRPr="0A805085">
              <w:rPr>
                <w:rFonts w:ascii="Times New Roman" w:eastAsia="Times New Roman" w:hAnsi="Times New Roman" w:cs="Times New Roman"/>
                <w:color w:val="000000" w:themeColor="text1"/>
                <w:sz w:val="24"/>
                <w:szCs w:val="24"/>
              </w:rPr>
              <w:t>: Assessing how the use of point-of-care testing in emergency departments optimizes the utilization of medical resources and facilities decision making by reducing the test turnaround time (</w:t>
            </w:r>
            <w:r w:rsidRPr="0A805085">
              <w:rPr>
                <w:rFonts w:ascii="Times New Roman" w:eastAsia="Segoe UI" w:hAnsi="Times New Roman" w:cs="Times New Roman"/>
                <w:color w:val="212121"/>
                <w:sz w:val="24"/>
                <w:szCs w:val="24"/>
              </w:rPr>
              <w:t>PMID: 33745234</w:t>
            </w:r>
            <w:r w:rsidRPr="0A805085">
              <w:rPr>
                <w:rFonts w:ascii="Times New Roman" w:eastAsia="Times New Roman" w:hAnsi="Times New Roman" w:cs="Times New Roman"/>
                <w:color w:val="000000" w:themeColor="text1"/>
                <w:sz w:val="24"/>
                <w:szCs w:val="24"/>
              </w:rPr>
              <w:t xml:space="preserve">). </w:t>
            </w:r>
          </w:p>
        </w:tc>
      </w:tr>
      <w:tr w:rsidR="26C99CCA" w:rsidRPr="00075B5A" w14:paraId="269FA917"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50528CE5" w14:textId="17080844"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Economic Impact</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62AF2E42" w14:textId="21000302"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 xml:space="preserve">Considering the cost implications of laboratory tests, including cost-effectiveness and </w:t>
            </w:r>
            <w:r w:rsidRPr="0A805085">
              <w:rPr>
                <w:rFonts w:ascii="Times New Roman" w:eastAsia="Times New Roman" w:hAnsi="Times New Roman" w:cs="Times New Roman"/>
                <w:color w:val="000000" w:themeColor="text1"/>
                <w:sz w:val="24"/>
                <w:szCs w:val="24"/>
              </w:rPr>
              <w:lastRenderedPageBreak/>
              <w:t>impact on healthcare spending.</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7D08323" w14:textId="5BA8D5CC" w:rsidR="26C99CCA" w:rsidRPr="00075B5A" w:rsidRDefault="56F423E2" w:rsidP="006563F6">
            <w:pPr>
              <w:shd w:val="clear" w:color="auto" w:fill="FFFFFF" w:themeFill="background1"/>
              <w:spacing w:after="0" w:line="480" w:lineRule="auto"/>
              <w:ind w:right="240"/>
              <w:rPr>
                <w:rFonts w:ascii="Times New Roman" w:eastAsia="Times New Roman" w:hAnsi="Times New Roman" w:cs="Times New Roman"/>
                <w:color w:val="000000" w:themeColor="text1"/>
                <w:sz w:val="24"/>
                <w:szCs w:val="24"/>
              </w:rPr>
            </w:pPr>
            <w:r w:rsidRPr="00075B5A">
              <w:rPr>
                <w:rFonts w:ascii="Times New Roman" w:eastAsia="Times New Roman" w:hAnsi="Times New Roman" w:cs="Times New Roman"/>
                <w:b/>
                <w:bCs/>
                <w:color w:val="000000" w:themeColor="text1"/>
                <w:sz w:val="24"/>
                <w:szCs w:val="24"/>
              </w:rPr>
              <w:lastRenderedPageBreak/>
              <w:t>Cost-Effectiveness:</w:t>
            </w:r>
            <w:r w:rsidRPr="00075B5A">
              <w:rPr>
                <w:rFonts w:ascii="Times New Roman" w:eastAsia="Times New Roman" w:hAnsi="Times New Roman" w:cs="Times New Roman"/>
                <w:color w:val="000000" w:themeColor="text1"/>
                <w:sz w:val="24"/>
                <w:szCs w:val="24"/>
              </w:rPr>
              <w:t xml:space="preserve"> Quantifying the costs and quality-adjusted life-year by C-reactive protein POCT for safely reducing antibiotics (PMID: 32202490).</w:t>
            </w:r>
          </w:p>
          <w:p w14:paraId="4639869F" w14:textId="588386AA"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Resource Utilization:</w:t>
            </w:r>
            <w:r w:rsidRPr="0A805085">
              <w:rPr>
                <w:rFonts w:ascii="Times New Roman" w:eastAsia="Times New Roman" w:hAnsi="Times New Roman" w:cs="Times New Roman"/>
                <w:color w:val="000000" w:themeColor="text1"/>
                <w:sz w:val="24"/>
                <w:szCs w:val="24"/>
              </w:rPr>
              <w:t xml:space="preserve"> </w:t>
            </w:r>
            <w:r w:rsidRPr="0A805085">
              <w:rPr>
                <w:rFonts w:ascii="Times New Roman" w:eastAsia="Times New Roman" w:hAnsi="Times New Roman" w:cs="Times New Roman"/>
                <w:color w:val="0D0D0D" w:themeColor="text1" w:themeTint="F2"/>
                <w:sz w:val="24"/>
                <w:szCs w:val="24"/>
              </w:rPr>
              <w:t xml:space="preserve">Calculating the reduced healthcare costs by implementing routine pharmacogenomic testing </w:t>
            </w:r>
            <w:r w:rsidRPr="0A805085">
              <w:rPr>
                <w:rFonts w:ascii="Times New Roman" w:eastAsia="Times New Roman" w:hAnsi="Times New Roman" w:cs="Times New Roman"/>
                <w:color w:val="0D0D0D" w:themeColor="text1" w:themeTint="F2"/>
                <w:sz w:val="24"/>
                <w:szCs w:val="24"/>
              </w:rPr>
              <w:lastRenderedPageBreak/>
              <w:t>before prescribing certain high-risk medications, leading to reduction in adverse drug reactions and subsequent treatment adjustments (</w:t>
            </w:r>
            <w:r w:rsidRPr="0A805085">
              <w:rPr>
                <w:rFonts w:ascii="Times New Roman" w:eastAsia="Segoe UI" w:hAnsi="Times New Roman" w:cs="Times New Roman"/>
                <w:color w:val="212121"/>
                <w:sz w:val="24"/>
                <w:szCs w:val="24"/>
              </w:rPr>
              <w:t>PMID: 31591509</w:t>
            </w:r>
            <w:r w:rsidRPr="0A805085">
              <w:rPr>
                <w:rFonts w:ascii="Times New Roman" w:eastAsia="Times New Roman" w:hAnsi="Times New Roman" w:cs="Times New Roman"/>
                <w:color w:val="0D0D0D" w:themeColor="text1" w:themeTint="F2"/>
                <w:sz w:val="24"/>
                <w:szCs w:val="24"/>
              </w:rPr>
              <w:t xml:space="preserve">). </w:t>
            </w:r>
          </w:p>
          <w:p w14:paraId="5C6394DE" w14:textId="3147BAF3"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 xml:space="preserve">Efficient Use of Laboratory Resources: </w:t>
            </w:r>
            <w:r w:rsidRPr="0A805085">
              <w:rPr>
                <w:rFonts w:ascii="Times New Roman" w:eastAsia="Times New Roman" w:hAnsi="Times New Roman" w:cs="Times New Roman"/>
                <w:color w:val="000000" w:themeColor="text1"/>
                <w:sz w:val="24"/>
                <w:szCs w:val="24"/>
              </w:rPr>
              <w:t>Implementing automated microbial identification systems to reduce healthcare costs by shortening hospital stays and decreasing the use of broad-spectrum antibiotics (</w:t>
            </w:r>
            <w:r w:rsidRPr="0A805085">
              <w:rPr>
                <w:rFonts w:ascii="Times New Roman" w:eastAsia="Segoe UI" w:hAnsi="Times New Roman" w:cs="Times New Roman"/>
                <w:color w:val="212121"/>
                <w:sz w:val="24"/>
                <w:szCs w:val="24"/>
              </w:rPr>
              <w:t>PMID: 23216247</w:t>
            </w:r>
            <w:r w:rsidRPr="0A805085">
              <w:rPr>
                <w:rFonts w:ascii="Times New Roman" w:eastAsia="Times New Roman" w:hAnsi="Times New Roman" w:cs="Times New Roman"/>
                <w:color w:val="000000" w:themeColor="text1"/>
                <w:sz w:val="24"/>
                <w:szCs w:val="24"/>
              </w:rPr>
              <w:t>).</w:t>
            </w:r>
          </w:p>
        </w:tc>
      </w:tr>
      <w:tr w:rsidR="26C99CCA" w:rsidRPr="00075B5A" w14:paraId="125423E4"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DC0A19F" w14:textId="4D92793E"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lastRenderedPageBreak/>
              <w:t>Public Health and Safety</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0499D5C1" w14:textId="3B5FDE88"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Investigating the broader effects of diagnostic practices on public health, disease control and prevention.</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D54A2B3" w14:textId="13D5DB11"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Infection Control:</w:t>
            </w:r>
            <w:r w:rsidRPr="0A805085">
              <w:rPr>
                <w:rFonts w:ascii="Times New Roman" w:eastAsia="Times New Roman" w:hAnsi="Times New Roman" w:cs="Times New Roman"/>
                <w:color w:val="000000" w:themeColor="text1"/>
                <w:sz w:val="24"/>
                <w:szCs w:val="24"/>
              </w:rPr>
              <w:t xml:space="preserve"> Documenting the role of POCT in managing and containing viral outbreaks like SARS-CoV-2 (</w:t>
            </w:r>
            <w:r w:rsidRPr="0A805085">
              <w:rPr>
                <w:rFonts w:ascii="Times New Roman" w:eastAsia="Segoe UI" w:hAnsi="Times New Roman" w:cs="Times New Roman"/>
                <w:color w:val="212121"/>
                <w:sz w:val="24"/>
                <w:szCs w:val="24"/>
              </w:rPr>
              <w:t>PMID: 36228640</w:t>
            </w:r>
            <w:r w:rsidRPr="0A805085">
              <w:rPr>
                <w:rFonts w:ascii="Times New Roman" w:eastAsia="Times New Roman" w:hAnsi="Times New Roman" w:cs="Times New Roman"/>
                <w:color w:val="000000" w:themeColor="text1"/>
                <w:sz w:val="24"/>
                <w:szCs w:val="24"/>
              </w:rPr>
              <w:t>).</w:t>
            </w:r>
          </w:p>
          <w:p w14:paraId="20911F9C" w14:textId="7749C779"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Antibiotic Stewardship:</w:t>
            </w:r>
            <w:r w:rsidRPr="0A805085">
              <w:rPr>
                <w:rFonts w:ascii="Times New Roman" w:eastAsia="Times New Roman" w:hAnsi="Times New Roman" w:cs="Times New Roman"/>
                <w:color w:val="000000" w:themeColor="text1"/>
                <w:sz w:val="24"/>
                <w:szCs w:val="24"/>
              </w:rPr>
              <w:t xml:space="preserve"> Highlighting the reduction in broad-spectrum antibiotic use due to rapid and precise bacterial culture tests (</w:t>
            </w:r>
            <w:r w:rsidRPr="0A805085">
              <w:rPr>
                <w:rFonts w:ascii="Times New Roman" w:eastAsia="Segoe UI" w:hAnsi="Times New Roman" w:cs="Times New Roman"/>
                <w:color w:val="212121"/>
                <w:sz w:val="24"/>
                <w:szCs w:val="24"/>
              </w:rPr>
              <w:t>PMID: 32757963</w:t>
            </w:r>
            <w:r w:rsidRPr="0A805085">
              <w:rPr>
                <w:rFonts w:ascii="Times New Roman" w:eastAsiaTheme="minorEastAsia" w:hAnsi="Times New Roman" w:cs="Times New Roman"/>
                <w:color w:val="000000" w:themeColor="text1"/>
                <w:sz w:val="24"/>
                <w:szCs w:val="24"/>
              </w:rPr>
              <w:t>).</w:t>
            </w:r>
          </w:p>
        </w:tc>
      </w:tr>
      <w:tr w:rsidR="26C99CCA" w:rsidRPr="00075B5A" w14:paraId="2FC9B24E"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757C7B17" w14:textId="7C5951FC"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Stakeholder Satisfaction</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18110C4" w14:textId="2E9B9ABA"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Evaluating the satisfaction and acceptance of diagnostic methods among patients and healthcare providers.</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B1E631F" w14:textId="10436400"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Patient Satisfaction:</w:t>
            </w:r>
            <w:r w:rsidRPr="0A805085">
              <w:rPr>
                <w:rFonts w:ascii="Times New Roman" w:eastAsia="Times New Roman" w:hAnsi="Times New Roman" w:cs="Times New Roman"/>
                <w:color w:val="000000" w:themeColor="text1"/>
                <w:sz w:val="24"/>
                <w:szCs w:val="24"/>
              </w:rPr>
              <w:t xml:space="preserve"> Surveying patient satisfaction with the use of minimally invasive blood tests for disease monitoring (</w:t>
            </w:r>
            <w:r w:rsidRPr="0A805085">
              <w:rPr>
                <w:rFonts w:ascii="Times New Roman" w:eastAsia="Segoe UI" w:hAnsi="Times New Roman" w:cs="Times New Roman"/>
                <w:color w:val="212121"/>
                <w:sz w:val="24"/>
                <w:szCs w:val="24"/>
              </w:rPr>
              <w:t>PMID: 26348035</w:t>
            </w:r>
            <w:r w:rsidRPr="0A805085">
              <w:rPr>
                <w:rFonts w:ascii="Times New Roman" w:eastAsia="Times New Roman" w:hAnsi="Times New Roman" w:cs="Times New Roman"/>
                <w:color w:val="000000" w:themeColor="text1"/>
                <w:sz w:val="24"/>
                <w:szCs w:val="24"/>
              </w:rPr>
              <w:t>).</w:t>
            </w:r>
          </w:p>
          <w:p w14:paraId="30790840" w14:textId="0A01C49F"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Provider Acceptance:</w:t>
            </w:r>
            <w:r w:rsidRPr="0A805085">
              <w:rPr>
                <w:rFonts w:ascii="Times New Roman" w:eastAsia="Times New Roman" w:hAnsi="Times New Roman" w:cs="Times New Roman"/>
                <w:color w:val="000000" w:themeColor="text1"/>
                <w:sz w:val="24"/>
                <w:szCs w:val="24"/>
              </w:rPr>
              <w:t xml:space="preserve"> Effect of P</w:t>
            </w:r>
            <w:r w:rsidRPr="0A805085">
              <w:rPr>
                <w:rFonts w:ascii="Times New Roman" w:eastAsiaTheme="minorEastAsia" w:hAnsi="Times New Roman" w:cs="Times New Roman"/>
                <w:color w:val="000000" w:themeColor="text1"/>
                <w:sz w:val="24"/>
                <w:szCs w:val="24"/>
              </w:rPr>
              <w:t xml:space="preserve">OCT and training in enhanced communication skills on antibiotic prescribing (PMID: 19416992). </w:t>
            </w:r>
          </w:p>
        </w:tc>
      </w:tr>
      <w:tr w:rsidR="26C99CCA" w:rsidRPr="00075B5A" w14:paraId="5AAFE5A2"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192B5237" w14:textId="3C6593B3"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Long-term Healthcare Impacts</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358159BC" w14:textId="681BFC54"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 xml:space="preserve">Studying the enduring effects of diagnostics on </w:t>
            </w:r>
            <w:r w:rsidRPr="0A805085">
              <w:rPr>
                <w:rFonts w:ascii="Times New Roman" w:eastAsia="Times New Roman" w:hAnsi="Times New Roman" w:cs="Times New Roman"/>
                <w:color w:val="000000" w:themeColor="text1"/>
                <w:sz w:val="24"/>
                <w:szCs w:val="24"/>
              </w:rPr>
              <w:lastRenderedPageBreak/>
              <w:t>healthcare practices, patient health, and public health policies.</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C4EC48B" w14:textId="026B763A"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lastRenderedPageBreak/>
              <w:t>Healthcare policy:</w:t>
            </w:r>
            <w:r w:rsidRPr="0A805085">
              <w:rPr>
                <w:rFonts w:ascii="Times New Roman" w:eastAsia="Times New Roman" w:hAnsi="Times New Roman" w:cs="Times New Roman"/>
                <w:color w:val="000000" w:themeColor="text1"/>
                <w:sz w:val="24"/>
                <w:szCs w:val="24"/>
              </w:rPr>
              <w:t xml:space="preserve"> Analyzing data to evaluate improvements in health outcomes due to early newborn screening programs for genetic disorders (</w:t>
            </w:r>
            <w:r w:rsidRPr="0A805085">
              <w:rPr>
                <w:rFonts w:ascii="Times New Roman" w:eastAsia="Segoe UI" w:hAnsi="Times New Roman" w:cs="Times New Roman"/>
                <w:color w:val="212121"/>
                <w:sz w:val="24"/>
                <w:szCs w:val="24"/>
              </w:rPr>
              <w:t>PMID: 30683812, PMID: 27118577</w:t>
            </w:r>
            <w:r w:rsidRPr="0A805085">
              <w:rPr>
                <w:rFonts w:ascii="Times New Roman" w:eastAsia="Times New Roman" w:hAnsi="Times New Roman" w:cs="Times New Roman"/>
                <w:color w:val="000000" w:themeColor="text1"/>
                <w:sz w:val="24"/>
                <w:szCs w:val="24"/>
              </w:rPr>
              <w:t>).</w:t>
            </w:r>
          </w:p>
        </w:tc>
      </w:tr>
    </w:tbl>
    <w:p w14:paraId="3ACFF64C" w14:textId="09586562" w:rsidR="00DC7713" w:rsidRPr="00075B5A" w:rsidRDefault="00DC7713" w:rsidP="006563F6">
      <w:pPr>
        <w:spacing w:after="0" w:line="480" w:lineRule="auto"/>
        <w:rPr>
          <w:rFonts w:ascii="Times New Roman" w:eastAsia="Times New Roman" w:hAnsi="Times New Roman" w:cs="Times New Roman"/>
          <w:sz w:val="24"/>
          <w:szCs w:val="24"/>
        </w:rPr>
      </w:pPr>
    </w:p>
    <w:p w14:paraId="6A342FFB" w14:textId="4D02BEE6" w:rsidR="001C6E90" w:rsidRPr="007C55C0" w:rsidRDefault="0A805085" w:rsidP="0A805085">
      <w:pPr>
        <w:keepNext/>
        <w:keepLines/>
        <w:spacing w:after="0" w:line="480" w:lineRule="auto"/>
        <w:outlineLvl w:val="0"/>
        <w:rPr>
          <w:rFonts w:ascii="Times New Roman" w:eastAsiaTheme="majorEastAsia" w:hAnsi="Times New Roman" w:cs="Times New Roman"/>
          <w:b/>
          <w:bCs/>
          <w:sz w:val="24"/>
          <w:szCs w:val="24"/>
        </w:rPr>
      </w:pPr>
      <w:r w:rsidRPr="007C55C0">
        <w:rPr>
          <w:rFonts w:ascii="Times New Roman" w:eastAsiaTheme="majorEastAsia" w:hAnsi="Times New Roman" w:cs="Times New Roman"/>
          <w:b/>
          <w:bCs/>
          <w:sz w:val="24"/>
          <w:szCs w:val="24"/>
        </w:rPr>
        <w:t xml:space="preserve">Implementation </w:t>
      </w:r>
      <w:r w:rsidR="007C55C0" w:rsidRPr="007C55C0">
        <w:rPr>
          <w:rFonts w:ascii="Times New Roman" w:eastAsiaTheme="majorEastAsia" w:hAnsi="Times New Roman" w:cs="Times New Roman"/>
          <w:b/>
          <w:bCs/>
          <w:sz w:val="24"/>
          <w:szCs w:val="24"/>
        </w:rPr>
        <w:t>c</w:t>
      </w:r>
      <w:r w:rsidRPr="007C55C0">
        <w:rPr>
          <w:rFonts w:ascii="Times New Roman" w:eastAsiaTheme="majorEastAsia" w:hAnsi="Times New Roman" w:cs="Times New Roman"/>
          <w:b/>
          <w:bCs/>
          <w:sz w:val="24"/>
          <w:szCs w:val="24"/>
        </w:rPr>
        <w:t>onsiderations</w:t>
      </w:r>
    </w:p>
    <w:p w14:paraId="6F21938A" w14:textId="50F1F843" w:rsidR="001C6E90" w:rsidRPr="00075B5A" w:rsidRDefault="0E9995AC" w:rsidP="0A805085">
      <w:pPr>
        <w:spacing w:after="0" w:line="480" w:lineRule="auto"/>
        <w:rPr>
          <w:rFonts w:ascii="Times New Roman" w:eastAsia="Times New Roman" w:hAnsi="Times New Roman" w:cs="Times New Roman"/>
          <w:strike/>
          <w:sz w:val="24"/>
          <w:szCs w:val="24"/>
        </w:rPr>
      </w:pPr>
      <w:r w:rsidRPr="0E9995AC">
        <w:rPr>
          <w:rFonts w:ascii="Times New Roman" w:hAnsi="Times New Roman" w:cs="Times New Roman"/>
          <w:sz w:val="24"/>
          <w:szCs w:val="24"/>
        </w:rPr>
        <w:t xml:space="preserve">Laboratory process improvement efforts are meant to evaluate the effectiveness of an intervention (or chain of related interventions) </w:t>
      </w:r>
      <w:r w:rsidRPr="006C15D7">
        <w:rPr>
          <w:rFonts w:ascii="Times New Roman" w:hAnsi="Times New Roman" w:cs="Times New Roman"/>
          <w:i/>
          <w:iCs/>
          <w:sz w:val="24"/>
          <w:szCs w:val="24"/>
        </w:rPr>
        <w:t xml:space="preserve">within a particular context </w:t>
      </w:r>
      <w:r w:rsidRPr="0E9995AC">
        <w:rPr>
          <w:rFonts w:ascii="Times New Roman" w:hAnsi="Times New Roman" w:cs="Times New Roman"/>
          <w:sz w:val="24"/>
          <w:szCs w:val="24"/>
        </w:rPr>
        <w:t>(e.g., unit, clinic, or system). The goal is not to establish a generalized causal relationship. Rather, the goal is to establish “what works” (or does</w:t>
      </w:r>
      <w:r w:rsidR="0065359B">
        <w:rPr>
          <w:rFonts w:ascii="Times New Roman" w:hAnsi="Times New Roman" w:cs="Times New Roman"/>
          <w:sz w:val="24"/>
          <w:szCs w:val="24"/>
        </w:rPr>
        <w:t xml:space="preserve"> not work</w:t>
      </w:r>
      <w:r w:rsidRPr="0E9995AC">
        <w:rPr>
          <w:rFonts w:ascii="Times New Roman" w:hAnsi="Times New Roman" w:cs="Times New Roman"/>
          <w:sz w:val="24"/>
          <w:szCs w:val="24"/>
        </w:rPr>
        <w:t>)</w:t>
      </w:r>
      <w:r w:rsidR="005555FA">
        <w:rPr>
          <w:rFonts w:ascii="Times New Roman" w:hAnsi="Times New Roman" w:cs="Times New Roman"/>
          <w:sz w:val="24"/>
          <w:szCs w:val="24"/>
        </w:rPr>
        <w:t>,</w:t>
      </w:r>
      <w:r w:rsidRPr="0E9995AC">
        <w:rPr>
          <w:rFonts w:ascii="Times New Roman" w:hAnsi="Times New Roman" w:cs="Times New Roman"/>
          <w:sz w:val="24"/>
          <w:szCs w:val="24"/>
        </w:rPr>
        <w:t xml:space="preserve"> for whom, and under what conditions.  </w:t>
      </w:r>
    </w:p>
    <w:p w14:paraId="7626006D" w14:textId="64D973DE" w:rsidR="001C6E90" w:rsidRDefault="0A805085" w:rsidP="006563F6">
      <w:pPr>
        <w:spacing w:after="0" w:line="480" w:lineRule="auto"/>
        <w:rPr>
          <w:rFonts w:ascii="Times New Roman" w:eastAsia="Times New Roman" w:hAnsi="Times New Roman" w:cs="Times New Roman"/>
          <w:strike/>
          <w:sz w:val="24"/>
          <w:szCs w:val="24"/>
        </w:rPr>
      </w:pPr>
      <w:r w:rsidRPr="0A805085">
        <w:rPr>
          <w:rFonts w:ascii="Times New Roman" w:hAnsi="Times New Roman" w:cs="Times New Roman"/>
          <w:sz w:val="24"/>
          <w:szCs w:val="24"/>
        </w:rPr>
        <w:t xml:space="preserve">The phrase “under what conditions” is key. These conditions often refer to the manner in which process improvement efforts are implemented. A process improvement effort that is successful within one context may not be successful in another context. It is vital to understand how improvement processes are planned, how staff are trained, how leadership buy-in is obtained, and what resources are available (or limited), all of which influence the success of a process improvement intervention. The “how” of a process improvement effort is at least as important as the “what” of the intervention. Indeed, a recent </w:t>
      </w:r>
      <w:r w:rsidR="005555FA">
        <w:rPr>
          <w:rFonts w:ascii="Times New Roman" w:hAnsi="Times New Roman" w:cs="Times New Roman"/>
          <w:sz w:val="24"/>
          <w:szCs w:val="24"/>
        </w:rPr>
        <w:t>SR</w:t>
      </w:r>
      <w:r w:rsidRPr="0A805085">
        <w:rPr>
          <w:rFonts w:ascii="Times New Roman" w:hAnsi="Times New Roman" w:cs="Times New Roman"/>
          <w:sz w:val="24"/>
          <w:szCs w:val="24"/>
        </w:rPr>
        <w:t xml:space="preserve"> and meta-analysis found that when attempting to decrease blood culture contamination rates, differences between devices, procedures or solutions were generally less important than implementing these changes as part of a large Quality Assurance/ Quality Improvement initiative that involved high intensity training.[</w:t>
      </w:r>
      <w:commentRangeStart w:id="33"/>
      <w:commentRangeStart w:id="34"/>
      <w:r w:rsidRPr="0A805085">
        <w:rPr>
          <w:rFonts w:ascii="Times New Roman" w:hAnsi="Times New Roman" w:cs="Times New Roman"/>
          <w:sz w:val="24"/>
          <w:szCs w:val="24"/>
        </w:rPr>
        <w:t>cite</w:t>
      </w:r>
      <w:commentRangeEnd w:id="33"/>
      <w:r w:rsidR="001C6E90" w:rsidRPr="0A805085">
        <w:rPr>
          <w:rStyle w:val="CommentReference"/>
          <w:rFonts w:ascii="Times New Roman" w:hAnsi="Times New Roman" w:cs="Times New Roman"/>
          <w:sz w:val="24"/>
          <w:szCs w:val="24"/>
        </w:rPr>
        <w:commentReference w:id="33"/>
      </w:r>
      <w:commentRangeEnd w:id="34"/>
      <w:r w:rsidR="001C6E90" w:rsidRPr="0A805085">
        <w:rPr>
          <w:rStyle w:val="CommentReference"/>
          <w:rFonts w:ascii="Times New Roman" w:hAnsi="Times New Roman" w:cs="Times New Roman"/>
          <w:sz w:val="24"/>
          <w:szCs w:val="24"/>
        </w:rPr>
        <w:commentReference w:id="34"/>
      </w:r>
      <w:r w:rsidRPr="0A805085">
        <w:rPr>
          <w:rFonts w:ascii="Times New Roman" w:hAnsi="Times New Roman" w:cs="Times New Roman"/>
          <w:sz w:val="24"/>
          <w:szCs w:val="24"/>
        </w:rPr>
        <w:t>] An entire body of research focusing on the methods and conditions of successful implementation efforts has evolved over the past twenty years in the guise of Implementation Science.[</w:t>
      </w:r>
      <w:commentRangeStart w:id="35"/>
      <w:r w:rsidRPr="0A805085">
        <w:rPr>
          <w:rFonts w:ascii="Times New Roman" w:hAnsi="Times New Roman" w:cs="Times New Roman"/>
          <w:sz w:val="24"/>
          <w:szCs w:val="24"/>
        </w:rPr>
        <w:t>cite</w:t>
      </w:r>
      <w:commentRangeEnd w:id="35"/>
      <w:r w:rsidR="001C6E90" w:rsidRPr="0A805085">
        <w:rPr>
          <w:rStyle w:val="CommentReference"/>
          <w:rFonts w:ascii="Times New Roman" w:eastAsia="Times New Roman" w:hAnsi="Times New Roman" w:cs="Times New Roman"/>
          <w:strike/>
          <w:sz w:val="24"/>
          <w:szCs w:val="24"/>
        </w:rPr>
        <w:commentReference w:id="35"/>
      </w:r>
      <w:r w:rsidRPr="0A805085">
        <w:rPr>
          <w:rFonts w:ascii="Times New Roman" w:eastAsia="Times New Roman" w:hAnsi="Times New Roman" w:cs="Times New Roman"/>
          <w:strike/>
          <w:sz w:val="24"/>
          <w:szCs w:val="24"/>
        </w:rPr>
        <w:t xml:space="preserve">]  </w:t>
      </w:r>
    </w:p>
    <w:p w14:paraId="7D715B2B" w14:textId="77777777" w:rsidR="0065359B" w:rsidRPr="00075B5A" w:rsidRDefault="0065359B" w:rsidP="006563F6">
      <w:pPr>
        <w:spacing w:after="0" w:line="480" w:lineRule="auto"/>
        <w:rPr>
          <w:rFonts w:ascii="Times New Roman" w:hAnsi="Times New Roman" w:cs="Times New Roman"/>
          <w:sz w:val="24"/>
          <w:szCs w:val="24"/>
        </w:rPr>
      </w:pPr>
    </w:p>
    <w:p w14:paraId="2AEB59FF" w14:textId="12FC5CCF" w:rsidR="001C6E90" w:rsidRDefault="0E9995AC" w:rsidP="006563F6">
      <w:pPr>
        <w:spacing w:after="0" w:line="480" w:lineRule="auto"/>
        <w:rPr>
          <w:rFonts w:ascii="Times New Roman" w:hAnsi="Times New Roman" w:cs="Times New Roman"/>
          <w:sz w:val="24"/>
          <w:szCs w:val="24"/>
        </w:rPr>
      </w:pPr>
      <w:r w:rsidRPr="0E9995AC">
        <w:rPr>
          <w:rFonts w:ascii="Times New Roman" w:hAnsi="Times New Roman" w:cs="Times New Roman"/>
          <w:sz w:val="24"/>
          <w:szCs w:val="24"/>
        </w:rPr>
        <w:lastRenderedPageBreak/>
        <w:t>Laboratory professionals seeking to improve performance are strongly encouraged to familiarize themselves with the basic principles of process improvement before embarking on a large outcomes project. In the same way that rigor of treatment protocols is vital for a successful clinical trial, process implementation protocols are vital for the success of efforts to improve laboratory outcomes. It is also important, when authoring reports on lab</w:t>
      </w:r>
      <w:r w:rsidR="0065359B">
        <w:rPr>
          <w:rFonts w:ascii="Times New Roman" w:hAnsi="Times New Roman" w:cs="Times New Roman"/>
          <w:sz w:val="24"/>
          <w:szCs w:val="24"/>
        </w:rPr>
        <w:t>oratory</w:t>
      </w:r>
      <w:r w:rsidRPr="0E9995AC">
        <w:rPr>
          <w:rFonts w:ascii="Times New Roman" w:hAnsi="Times New Roman" w:cs="Times New Roman"/>
          <w:sz w:val="24"/>
          <w:szCs w:val="24"/>
        </w:rPr>
        <w:t xml:space="preserve"> process improvement studies, that these implementation considerations and decisions be documented within the </w:t>
      </w:r>
      <w:r w:rsidR="0065359B">
        <w:rPr>
          <w:rFonts w:ascii="Times New Roman" w:hAnsi="Times New Roman" w:cs="Times New Roman"/>
          <w:sz w:val="24"/>
          <w:szCs w:val="24"/>
        </w:rPr>
        <w:t>published manuscript</w:t>
      </w:r>
      <w:r w:rsidRPr="0E9995AC">
        <w:rPr>
          <w:rFonts w:ascii="Times New Roman" w:hAnsi="Times New Roman" w:cs="Times New Roman"/>
          <w:sz w:val="24"/>
          <w:szCs w:val="24"/>
        </w:rPr>
        <w:t>. This information is crucial at the meta-analytic stage for understanding differences in performance across studies, designs, contexts and populations.</w:t>
      </w:r>
    </w:p>
    <w:p w14:paraId="1889476E" w14:textId="77777777" w:rsidR="00313D8B" w:rsidRPr="00075B5A" w:rsidRDefault="00313D8B" w:rsidP="006563F6">
      <w:pPr>
        <w:spacing w:after="0" w:line="480" w:lineRule="auto"/>
        <w:rPr>
          <w:rFonts w:ascii="Times New Roman" w:hAnsi="Times New Roman" w:cs="Times New Roman"/>
          <w:sz w:val="24"/>
          <w:szCs w:val="24"/>
        </w:rPr>
      </w:pPr>
    </w:p>
    <w:p w14:paraId="0B3F9B26" w14:textId="77777777" w:rsidR="00313D8B"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As noted above, outcome studies are primarily concerned with the real-world impacts of laboratory process improvements. Therefore, it is important to recognize that outcome studies are not clinical trials. While clinical trials are specifically designed to filter out real-world noise (differences in patient characteristics, differences in location, etc.) to establish a causal relationship, outcome studies are primarily concerned with how an organizational intervention works in context. Thus, methodological aspects, such as randomization, allocation concealment, and blinding, may be of less concern when designing a study and may even be inappropriate depending on the study goals.</w:t>
      </w:r>
    </w:p>
    <w:p w14:paraId="6B504D94" w14:textId="04F02171" w:rsidR="001C6E90" w:rsidRPr="00075B5A"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 </w:t>
      </w:r>
    </w:p>
    <w:p w14:paraId="02BD05DB" w14:textId="7862F13E" w:rsidR="001C6E90"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For instance, a process improvement effort seeking to decrease blood culture contamination often requires training, obtaining staff buy-in, progress monitoring, etc. </w:t>
      </w:r>
      <w:commentRangeStart w:id="36"/>
      <w:r w:rsidRPr="0A805085">
        <w:rPr>
          <w:rFonts w:ascii="Times New Roman" w:hAnsi="Times New Roman" w:cs="Times New Roman"/>
          <w:sz w:val="24"/>
          <w:szCs w:val="24"/>
        </w:rPr>
        <w:t xml:space="preserve">[cite]. </w:t>
      </w:r>
      <w:commentRangeEnd w:id="36"/>
      <w:r w:rsidR="001C6E90">
        <w:rPr>
          <w:rStyle w:val="CommentReference"/>
          <w:rFonts w:ascii="Times New Roman" w:hAnsi="Times New Roman" w:cs="Times New Roman"/>
          <w:sz w:val="24"/>
          <w:szCs w:val="24"/>
        </w:rPr>
        <w:commentReference w:id="36"/>
      </w:r>
      <w:r w:rsidR="00B45E16">
        <w:rPr>
          <w:rFonts w:ascii="Times New Roman" w:hAnsi="Times New Roman" w:cs="Times New Roman"/>
          <w:sz w:val="24"/>
          <w:szCs w:val="24"/>
        </w:rPr>
        <w:t>T</w:t>
      </w:r>
      <w:r w:rsidRPr="0A805085">
        <w:rPr>
          <w:rFonts w:ascii="Times New Roman" w:hAnsi="Times New Roman" w:cs="Times New Roman"/>
          <w:sz w:val="24"/>
          <w:szCs w:val="24"/>
        </w:rPr>
        <w:t xml:space="preserve">hese principles that are crucial to the success of a process improvement effort are the opposite of the randomization and blinding expected in a RCT. In short, although RCTs are the gold standard for clinical research, they are not ideal for process or organizational improvement studies. </w:t>
      </w:r>
    </w:p>
    <w:p w14:paraId="3C82C6DA" w14:textId="77777777" w:rsidR="00D436C0" w:rsidRPr="00075B5A" w:rsidRDefault="00D436C0" w:rsidP="006563F6">
      <w:pPr>
        <w:spacing w:after="0" w:line="480" w:lineRule="auto"/>
        <w:rPr>
          <w:rFonts w:ascii="Times New Roman" w:hAnsi="Times New Roman" w:cs="Times New Roman"/>
          <w:sz w:val="24"/>
          <w:szCs w:val="24"/>
        </w:rPr>
      </w:pPr>
    </w:p>
    <w:p w14:paraId="28964301" w14:textId="5E8AF9A5" w:rsidR="001C6E90" w:rsidRPr="00075B5A"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Another consideration is the cost of the study. Attempting to implement different interventions (e.g., using usual practice control along with innovative intervention) within a system or between clinics or hospitals can be cost-prohibitive. A cluster randomized trial (randomized by center rather than by individual) may be ideal but can be costly or practically infeasible. Because of this, before/after designs are frequently used. It is critical to select the study design that is most appropriate for the type of question. Table </w:t>
      </w:r>
      <w:commentRangeStart w:id="37"/>
      <w:r w:rsidRPr="0A805085">
        <w:rPr>
          <w:rFonts w:ascii="Times New Roman" w:hAnsi="Times New Roman" w:cs="Times New Roman"/>
          <w:sz w:val="24"/>
          <w:szCs w:val="24"/>
        </w:rPr>
        <w:t>1</w:t>
      </w:r>
      <w:commentRangeEnd w:id="37"/>
      <w:r w:rsidR="001C6E90" w:rsidRPr="0A805085">
        <w:rPr>
          <w:rStyle w:val="CommentReference"/>
          <w:rFonts w:ascii="Times New Roman" w:hAnsi="Times New Roman" w:cs="Times New Roman"/>
          <w:sz w:val="24"/>
          <w:szCs w:val="24"/>
        </w:rPr>
        <w:commentReference w:id="37"/>
      </w:r>
      <w:r w:rsidRPr="0A805085">
        <w:rPr>
          <w:rFonts w:ascii="Times New Roman" w:hAnsi="Times New Roman" w:cs="Times New Roman"/>
          <w:sz w:val="24"/>
          <w:szCs w:val="24"/>
        </w:rPr>
        <w:t xml:space="preserve"> provides a basic description and considerations for matching the study design to the appropriate outcome evaluation effort or question.</w:t>
      </w:r>
    </w:p>
    <w:p w14:paraId="6CBC44E4" w14:textId="77777777" w:rsidR="00D81AC2" w:rsidRPr="00075B5A" w:rsidRDefault="00D81AC2" w:rsidP="006563F6">
      <w:pPr>
        <w:spacing w:after="0" w:line="480" w:lineRule="auto"/>
        <w:rPr>
          <w:rFonts w:ascii="Times New Roman" w:hAnsi="Times New Roman" w:cs="Times New Roman"/>
          <w:color w:val="FF0000"/>
          <w:sz w:val="24"/>
          <w:szCs w:val="24"/>
        </w:rPr>
      </w:pPr>
    </w:p>
    <w:p w14:paraId="6543FA47" w14:textId="7C97F499" w:rsidR="0040792A" w:rsidRPr="00075B5A" w:rsidRDefault="007E0B94" w:rsidP="006563F6">
      <w:pPr>
        <w:spacing w:after="0" w:line="480" w:lineRule="auto"/>
        <w:rPr>
          <w:rFonts w:ascii="Times New Roman" w:hAnsi="Times New Roman" w:cs="Times New Roman"/>
          <w:sz w:val="24"/>
          <w:szCs w:val="24"/>
        </w:rPr>
      </w:pPr>
      <w:r>
        <w:rPr>
          <w:rFonts w:ascii="Times New Roman" w:hAnsi="Times New Roman" w:cs="Times New Roman"/>
          <w:b/>
          <w:bCs/>
          <w:sz w:val="24"/>
          <w:szCs w:val="24"/>
        </w:rPr>
        <w:t>How journals can assist</w:t>
      </w:r>
    </w:p>
    <w:p w14:paraId="0DD77349" w14:textId="77777777" w:rsidR="007E0B94"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One of the most important aspects of laboratory medicine, especially as it involves new diagnostic and prognostic markers, is how new assays can be integrated into patient related clinical outcomes</w:t>
      </w:r>
      <w:r w:rsidRPr="0A805085">
        <w:rPr>
          <w:rFonts w:ascii="Times New Roman" w:eastAsia="Times New Roman" w:hAnsi="Times New Roman" w:cs="Times New Roman"/>
          <w:strike/>
          <w:sz w:val="24"/>
          <w:szCs w:val="24"/>
        </w:rPr>
        <w:t xml:space="preserve"> </w:t>
      </w:r>
      <w:r w:rsidRPr="0A805085">
        <w:rPr>
          <w:rFonts w:ascii="Times New Roman" w:hAnsi="Times New Roman" w:cs="Times New Roman"/>
          <w:sz w:val="24"/>
          <w:szCs w:val="24"/>
        </w:rPr>
        <w:t>or improving economic outcomes. While laboratories are very well-versed in analytical as well as clinical performance validations of tests, it is critical that laboratorians also start thinking outside the box and become involved in the complete management of the patient, such as involvement in outcome studies. Despite advocacy in this area, detailed studies demonstrating the link between laboratory testing and patient management and/or health outcomes are still lacking.</w:t>
      </w:r>
    </w:p>
    <w:p w14:paraId="0D3A5A34" w14:textId="0D9AFC8D" w:rsidR="00D14068" w:rsidRPr="00075B5A"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 </w:t>
      </w:r>
    </w:p>
    <w:p w14:paraId="0DB0F6D6" w14:textId="4218A724" w:rsidR="00D14068" w:rsidRPr="00075B5A"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Scientific journals have an opportunity to steward the quality of published outcome studies involving the clinical </w:t>
      </w:r>
      <w:r w:rsidRPr="006E1F33">
        <w:rPr>
          <w:rFonts w:ascii="Times New Roman" w:hAnsi="Times New Roman" w:cs="Times New Roman"/>
          <w:sz w:val="24"/>
          <w:szCs w:val="24"/>
        </w:rPr>
        <w:t>laboratory</w:t>
      </w:r>
      <w:r w:rsidRPr="006E1F33">
        <w:rPr>
          <w:rFonts w:ascii="Times New Roman" w:eastAsia="Times New Roman" w:hAnsi="Times New Roman" w:cs="Times New Roman"/>
          <w:sz w:val="24"/>
          <w:szCs w:val="24"/>
        </w:rPr>
        <w:t xml:space="preserve">. </w:t>
      </w:r>
      <w:r w:rsidRPr="006E1F33">
        <w:rPr>
          <w:rFonts w:ascii="Times New Roman" w:hAnsi="Times New Roman" w:cs="Times New Roman"/>
          <w:sz w:val="24"/>
          <w:szCs w:val="24"/>
        </w:rPr>
        <w:t>Authors</w:t>
      </w:r>
      <w:r w:rsidRPr="006E1F33">
        <w:rPr>
          <w:rFonts w:ascii="Times New Roman" w:eastAsia="Times New Roman" w:hAnsi="Times New Roman" w:cs="Times New Roman"/>
          <w:sz w:val="24"/>
          <w:szCs w:val="24"/>
        </w:rPr>
        <w:t xml:space="preserve">, </w:t>
      </w:r>
      <w:r w:rsidRPr="006E1F33">
        <w:rPr>
          <w:rFonts w:ascii="Times New Roman" w:hAnsi="Times New Roman" w:cs="Times New Roman"/>
          <w:sz w:val="24"/>
          <w:szCs w:val="24"/>
        </w:rPr>
        <w:t>reviewers</w:t>
      </w:r>
      <w:r w:rsidRPr="0A805085">
        <w:rPr>
          <w:rFonts w:ascii="Times New Roman" w:hAnsi="Times New Roman" w:cs="Times New Roman"/>
          <w:sz w:val="24"/>
          <w:szCs w:val="24"/>
        </w:rPr>
        <w:t xml:space="preserve">, and editors can utilize the provided </w:t>
      </w:r>
      <w:r w:rsidR="006E1F33">
        <w:rPr>
          <w:rFonts w:ascii="Times New Roman" w:hAnsi="Times New Roman" w:cs="Times New Roman"/>
          <w:sz w:val="24"/>
          <w:szCs w:val="24"/>
        </w:rPr>
        <w:t xml:space="preserve">LAB-SQUIRE 2.0 </w:t>
      </w:r>
      <w:r w:rsidRPr="0A805085">
        <w:rPr>
          <w:rFonts w:ascii="Times New Roman" w:hAnsi="Times New Roman" w:cs="Times New Roman"/>
          <w:sz w:val="24"/>
          <w:szCs w:val="24"/>
        </w:rPr>
        <w:t xml:space="preserve">checklist to ensure critical information is included in the manuscript for future use </w:t>
      </w:r>
      <w:r w:rsidRPr="0A805085">
        <w:rPr>
          <w:rFonts w:ascii="Times New Roman" w:hAnsi="Times New Roman" w:cs="Times New Roman"/>
          <w:sz w:val="24"/>
          <w:szCs w:val="24"/>
        </w:rPr>
        <w:lastRenderedPageBreak/>
        <w:t xml:space="preserve">in </w:t>
      </w:r>
      <w:r w:rsidR="006E1F33">
        <w:rPr>
          <w:rFonts w:ascii="Times New Roman" w:hAnsi="Times New Roman" w:cs="Times New Roman"/>
          <w:sz w:val="24"/>
          <w:szCs w:val="24"/>
        </w:rPr>
        <w:t>SR</w:t>
      </w:r>
      <w:r w:rsidRPr="0A805085">
        <w:rPr>
          <w:rFonts w:ascii="Times New Roman" w:hAnsi="Times New Roman" w:cs="Times New Roman"/>
          <w:sz w:val="24"/>
          <w:szCs w:val="24"/>
        </w:rPr>
        <w:t>s. Ideally, all validation studies could be collected into one site for enabling meta</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analyses and increase power and strength of outcome studies relating to laboratory testing.</w:t>
      </w:r>
    </w:p>
    <w:p w14:paraId="49ABB20B" w14:textId="77777777" w:rsidR="007E0B94" w:rsidRDefault="007E0B94" w:rsidP="007E0B94">
      <w:pPr>
        <w:spacing w:after="0" w:line="480" w:lineRule="auto"/>
        <w:rPr>
          <w:rFonts w:ascii="Times New Roman" w:hAnsi="Times New Roman" w:cs="Times New Roman"/>
          <w:sz w:val="24"/>
          <w:szCs w:val="24"/>
        </w:rPr>
      </w:pPr>
    </w:p>
    <w:p w14:paraId="5D815584" w14:textId="08BDF669" w:rsidR="00E22CB6" w:rsidRPr="00075B5A" w:rsidRDefault="006E1F33" w:rsidP="007E0B94">
      <w:pPr>
        <w:spacing w:after="0" w:line="480" w:lineRule="auto"/>
        <w:rPr>
          <w:rFonts w:ascii="Times New Roman" w:hAnsi="Times New Roman" w:cs="Times New Roman"/>
          <w:sz w:val="24"/>
          <w:szCs w:val="24"/>
        </w:rPr>
      </w:pPr>
      <w:r>
        <w:rPr>
          <w:rFonts w:ascii="Times New Roman" w:hAnsi="Times New Roman" w:cs="Times New Roman"/>
          <w:sz w:val="24"/>
          <w:szCs w:val="24"/>
        </w:rPr>
        <w:t>S</w:t>
      </w:r>
      <w:r w:rsidR="0A805085" w:rsidRPr="0A805085">
        <w:rPr>
          <w:rFonts w:ascii="Times New Roman" w:hAnsi="Times New Roman" w:cs="Times New Roman"/>
          <w:sz w:val="24"/>
          <w:szCs w:val="24"/>
        </w:rPr>
        <w:t>ome outcome studies may be published as grey data, such as an abstract, rather than in a peer-reviewed journal</w:t>
      </w:r>
      <w:r w:rsidR="0A805085" w:rsidRPr="006E1F33">
        <w:rPr>
          <w:rFonts w:ascii="Times New Roman" w:eastAsia="Times New Roman" w:hAnsi="Times New Roman" w:cs="Times New Roman"/>
          <w:sz w:val="24"/>
          <w:szCs w:val="24"/>
        </w:rPr>
        <w:t xml:space="preserve">. </w:t>
      </w:r>
      <w:r w:rsidR="0A805085" w:rsidRPr="0A805085">
        <w:rPr>
          <w:rFonts w:ascii="Times New Roman" w:hAnsi="Times New Roman" w:cs="Times New Roman"/>
          <w:sz w:val="24"/>
          <w:szCs w:val="24"/>
        </w:rPr>
        <w:t>Often these studies contain insufficient information for inclusion in meta-analysis. While authors of grey data</w:t>
      </w:r>
      <w:r w:rsidR="0A805085" w:rsidRPr="0A805085">
        <w:rPr>
          <w:rFonts w:ascii="Times New Roman" w:eastAsia="Times New Roman" w:hAnsi="Times New Roman" w:cs="Times New Roman"/>
          <w:strike/>
          <w:sz w:val="24"/>
          <w:szCs w:val="24"/>
        </w:rPr>
        <w:t xml:space="preserve"> </w:t>
      </w:r>
      <w:r w:rsidR="0A805085" w:rsidRPr="0A805085">
        <w:rPr>
          <w:rFonts w:ascii="Times New Roman" w:hAnsi="Times New Roman" w:cs="Times New Roman"/>
          <w:sz w:val="24"/>
          <w:szCs w:val="24"/>
        </w:rPr>
        <w:t>can and should utilize the checklist, the reported outcomes may be limited by resources, particularly in certain patient populations or practice settings.</w:t>
      </w:r>
    </w:p>
    <w:p w14:paraId="6DCC8E82" w14:textId="77777777" w:rsidR="00DC7713" w:rsidRPr="00075B5A" w:rsidRDefault="00DC7713" w:rsidP="006563F6">
      <w:pPr>
        <w:spacing w:after="0" w:line="480" w:lineRule="auto"/>
        <w:rPr>
          <w:rFonts w:ascii="Times New Roman" w:hAnsi="Times New Roman" w:cs="Times New Roman"/>
          <w:b/>
          <w:bCs/>
          <w:sz w:val="24"/>
          <w:szCs w:val="24"/>
        </w:rPr>
      </w:pPr>
    </w:p>
    <w:p w14:paraId="1F1109AB" w14:textId="49156874" w:rsidR="00746428" w:rsidRDefault="0040792A" w:rsidP="006563F6">
      <w:pPr>
        <w:spacing w:after="0" w:line="480" w:lineRule="auto"/>
        <w:rPr>
          <w:rFonts w:ascii="Times New Roman" w:hAnsi="Times New Roman" w:cs="Times New Roman"/>
          <w:b/>
          <w:bCs/>
          <w:color w:val="FF0000"/>
          <w:sz w:val="24"/>
          <w:szCs w:val="24"/>
        </w:rPr>
      </w:pPr>
      <w:r w:rsidRPr="00075B5A">
        <w:rPr>
          <w:rFonts w:ascii="Times New Roman" w:hAnsi="Times New Roman" w:cs="Times New Roman"/>
          <w:b/>
          <w:bCs/>
          <w:sz w:val="24"/>
          <w:szCs w:val="24"/>
        </w:rPr>
        <w:t>Conclusion</w:t>
      </w:r>
    </w:p>
    <w:p w14:paraId="2393C935" w14:textId="07DD36E9" w:rsidR="00D936C1" w:rsidRDefault="0A805085" w:rsidP="006563F6">
      <w:pPr>
        <w:spacing w:after="0" w:line="480" w:lineRule="auto"/>
        <w:rPr>
          <w:rFonts w:ascii="Times New Roman" w:eastAsia="Times New Roman" w:hAnsi="Times New Roman" w:cs="Times New Roman"/>
          <w:sz w:val="24"/>
          <w:szCs w:val="24"/>
        </w:rPr>
      </w:pPr>
      <w:r w:rsidRPr="0A805085">
        <w:rPr>
          <w:rFonts w:ascii="Times New Roman" w:hAnsi="Times New Roman" w:cs="Times New Roman"/>
          <w:sz w:val="24"/>
          <w:szCs w:val="24"/>
        </w:rPr>
        <w:t>As clinical laboratory studies continue to be performed on both existing and emerging processes, authors must consider not only diagnostic accuracy, but healthcare outcomes in their study design</w:t>
      </w:r>
      <w:r w:rsidRPr="00371B91">
        <w:rPr>
          <w:rFonts w:ascii="Times New Roman" w:eastAsia="Times New Roman" w:hAnsi="Times New Roman" w:cs="Times New Roman"/>
          <w:sz w:val="24"/>
          <w:szCs w:val="24"/>
        </w:rPr>
        <w:t>.</w:t>
      </w:r>
      <w:r w:rsidRPr="0A805085">
        <w:rPr>
          <w:rFonts w:ascii="Times New Roman" w:hAnsi="Times New Roman" w:cs="Times New Roman"/>
          <w:sz w:val="24"/>
          <w:szCs w:val="24"/>
        </w:rPr>
        <w:t xml:space="preserve"> Stakeholders, including clinicians, laboratorians, and payers, among others, continue to seek data to support patient care processes. Authors play an important role in study design and manuscript preparation, while journal reviewers and editors can monitor adherence to standard guidelines and checklists to ensure manuscript robustness.</w:t>
      </w:r>
      <w:r w:rsidRPr="006E1F33">
        <w:rPr>
          <w:rFonts w:ascii="Times New Roman" w:eastAsia="Times New Roman" w:hAnsi="Times New Roman" w:cs="Times New Roman"/>
          <w:sz w:val="24"/>
          <w:szCs w:val="24"/>
        </w:rPr>
        <w:t xml:space="preserve"> </w:t>
      </w:r>
      <w:r w:rsidRPr="0A805085">
        <w:rPr>
          <w:rFonts w:ascii="Times New Roman" w:hAnsi="Times New Roman" w:cs="Times New Roman"/>
          <w:sz w:val="24"/>
          <w:szCs w:val="24"/>
        </w:rPr>
        <w:t>A well-designed study and comprehensive manuscript improve the ability to extrapolate the outcomes and increase the likely the manuscript can be both included and highly graded in SRs designed to answer critical outcome questions</w:t>
      </w:r>
      <w:r w:rsidRPr="006E1F33">
        <w:rPr>
          <w:rFonts w:ascii="Times New Roman" w:eastAsia="Times New Roman" w:hAnsi="Times New Roman" w:cs="Times New Roman"/>
          <w:sz w:val="24"/>
          <w:szCs w:val="24"/>
        </w:rPr>
        <w:t>.</w:t>
      </w:r>
      <w:r w:rsidR="006E1F33">
        <w:rPr>
          <w:rFonts w:ascii="Times New Roman" w:eastAsia="Times New Roman" w:hAnsi="Times New Roman" w:cs="Times New Roman"/>
          <w:sz w:val="24"/>
          <w:szCs w:val="24"/>
        </w:rPr>
        <w:t xml:space="preserve"> ASM and ADLM have partnered to </w:t>
      </w:r>
      <w:r w:rsidR="00916474">
        <w:rPr>
          <w:rFonts w:ascii="Times New Roman" w:eastAsia="Times New Roman" w:hAnsi="Times New Roman" w:cs="Times New Roman"/>
          <w:sz w:val="24"/>
          <w:szCs w:val="24"/>
        </w:rPr>
        <w:t>provide</w:t>
      </w:r>
      <w:r w:rsidR="00095089">
        <w:rPr>
          <w:rFonts w:ascii="Times New Roman" w:eastAsia="Times New Roman" w:hAnsi="Times New Roman" w:cs="Times New Roman"/>
          <w:sz w:val="24"/>
          <w:szCs w:val="24"/>
        </w:rPr>
        <w:t xml:space="preserve"> clinical</w:t>
      </w:r>
      <w:r w:rsidR="00916474">
        <w:rPr>
          <w:rFonts w:ascii="Times New Roman" w:eastAsia="Times New Roman" w:hAnsi="Times New Roman" w:cs="Times New Roman"/>
          <w:sz w:val="24"/>
          <w:szCs w:val="24"/>
        </w:rPr>
        <w:t xml:space="preserve"> </w:t>
      </w:r>
      <w:r w:rsidR="00095089">
        <w:rPr>
          <w:rFonts w:ascii="Times New Roman" w:eastAsia="Times New Roman" w:hAnsi="Times New Roman" w:cs="Times New Roman"/>
          <w:sz w:val="24"/>
          <w:szCs w:val="24"/>
        </w:rPr>
        <w:t>laboratory-specific</w:t>
      </w:r>
      <w:r w:rsidR="00916474">
        <w:rPr>
          <w:rFonts w:ascii="Times New Roman" w:eastAsia="Times New Roman" w:hAnsi="Times New Roman" w:cs="Times New Roman"/>
          <w:sz w:val="24"/>
          <w:szCs w:val="24"/>
        </w:rPr>
        <w:t xml:space="preserve"> guidelines and a checklist, LAB-SQUIRE 2.0, to improve </w:t>
      </w:r>
      <w:r w:rsidR="00095089">
        <w:rPr>
          <w:rFonts w:ascii="Times New Roman" w:eastAsia="Times New Roman" w:hAnsi="Times New Roman" w:cs="Times New Roman"/>
          <w:sz w:val="24"/>
          <w:szCs w:val="24"/>
        </w:rPr>
        <w:t>the thoroughness of published outcome studies</w:t>
      </w:r>
      <w:r w:rsidR="00E80DAB">
        <w:rPr>
          <w:rFonts w:ascii="Times New Roman" w:eastAsia="Times New Roman" w:hAnsi="Times New Roman" w:cs="Times New Roman"/>
          <w:sz w:val="24"/>
          <w:szCs w:val="24"/>
        </w:rPr>
        <w:t xml:space="preserve"> and</w:t>
      </w:r>
      <w:r w:rsidR="00095089">
        <w:rPr>
          <w:rFonts w:ascii="Times New Roman" w:eastAsia="Times New Roman" w:hAnsi="Times New Roman" w:cs="Times New Roman"/>
          <w:sz w:val="24"/>
          <w:szCs w:val="24"/>
        </w:rPr>
        <w:t xml:space="preserve"> enhance future SRs and meta-analyses.</w:t>
      </w:r>
    </w:p>
    <w:sdt>
      <w:sdtPr>
        <w:rPr>
          <w:rFonts w:ascii="Times New Roman" w:hAnsi="Times New Roman" w:cs="Times New Roman"/>
          <w:b/>
          <w:bCs/>
          <w:color w:val="FF0000"/>
          <w:sz w:val="24"/>
          <w:szCs w:val="24"/>
        </w:rPr>
        <w:alias w:val="SmartCite Bibliography"/>
        <w:tag w:val="Journal of Clinical Microbiology+{&quot;language&quot;:&quot;en-US&quot;,&quot;isSectionsModeOn&quot;:false}"/>
        <w:id w:val="-1664005156"/>
        <w:placeholder>
          <w:docPart w:val="DefaultPlaceholder_-1854013440"/>
        </w:placeholder>
      </w:sdtPr>
      <w:sdtEndPr>
        <w:rPr>
          <w:rFonts w:eastAsiaTheme="minorEastAsia"/>
          <w:kern w:val="0"/>
          <w14:ligatures w14:val="none"/>
        </w:rPr>
      </w:sdtEndPr>
      <w:sdtContent>
        <w:p w14:paraId="017A48B9" w14:textId="600B10E3" w:rsidR="00573FFC" w:rsidRPr="00075B5A" w:rsidRDefault="00573FFC" w:rsidP="006563F6">
          <w:pPr>
            <w:spacing w:after="0" w:line="480" w:lineRule="auto"/>
            <w:rPr>
              <w:rFonts w:ascii="Times New Roman" w:hAnsi="Times New Roman" w:cs="Times New Roman"/>
              <w:b/>
              <w:bCs/>
              <w:color w:val="FF0000"/>
              <w:sz w:val="24"/>
              <w:szCs w:val="24"/>
            </w:rPr>
          </w:pPr>
        </w:p>
        <w:p w14:paraId="7FCCB7BC" w14:textId="77777777" w:rsidR="00573FFC" w:rsidRPr="00075B5A" w:rsidRDefault="00573FFC">
          <w:pPr>
            <w:rPr>
              <w:rFonts w:ascii="Times New Roman" w:hAnsi="Times New Roman" w:cs="Times New Roman"/>
              <w:b/>
              <w:bCs/>
              <w:color w:val="FF0000"/>
              <w:sz w:val="24"/>
              <w:szCs w:val="24"/>
            </w:rPr>
          </w:pPr>
          <w:r w:rsidRPr="00075B5A">
            <w:rPr>
              <w:rFonts w:ascii="Times New Roman" w:hAnsi="Times New Roman" w:cs="Times New Roman"/>
              <w:b/>
              <w:bCs/>
              <w:color w:val="FF0000"/>
              <w:sz w:val="24"/>
              <w:szCs w:val="24"/>
            </w:rPr>
            <w:br w:type="page"/>
          </w:r>
        </w:p>
        <w:p w14:paraId="5DA4CC4E" w14:textId="403520B0" w:rsidR="006563F6" w:rsidRPr="00075B5A" w:rsidRDefault="00573FFC" w:rsidP="006563F6">
          <w:pPr>
            <w:spacing w:after="0" w:line="480" w:lineRule="auto"/>
            <w:rPr>
              <w:rFonts w:ascii="Times New Roman" w:eastAsia="Times New Roman" w:hAnsi="Times New Roman" w:cs="Times New Roman"/>
              <w:kern w:val="0"/>
              <w:sz w:val="24"/>
              <w:szCs w:val="24"/>
              <w14:ligatures w14:val="none"/>
            </w:rPr>
          </w:pPr>
          <w:r w:rsidRPr="00075B5A">
            <w:rPr>
              <w:rFonts w:ascii="Times New Roman" w:eastAsia="Times New Roman" w:hAnsi="Times New Roman" w:cs="Times New Roman"/>
              <w:kern w:val="0"/>
              <w:sz w:val="24"/>
              <w:szCs w:val="24"/>
              <w14:ligatures w14:val="none"/>
            </w:rPr>
            <w:lastRenderedPageBreak/>
            <w:t>References</w:t>
          </w:r>
        </w:p>
        <w:p w14:paraId="4B44A47E" w14:textId="77777777" w:rsidR="006563F6" w:rsidRPr="00075B5A" w:rsidRDefault="006563F6" w:rsidP="006563F6">
          <w:pPr>
            <w:pStyle w:val="Bibliography1"/>
            <w:spacing w:before="0" w:beforeAutospacing="0" w:after="0" w:afterAutospacing="0" w:line="480" w:lineRule="auto"/>
          </w:pPr>
          <w:r w:rsidRPr="00075B5A">
            <w:t>1. Horvath AR. 2013. From evidence to best practice in laboratory medicine. Clin Biochem Rev 34:47–60.</w:t>
          </w:r>
        </w:p>
        <w:p w14:paraId="236753F6" w14:textId="77777777" w:rsidR="006563F6" w:rsidRPr="00075B5A" w:rsidRDefault="006563F6" w:rsidP="006563F6">
          <w:pPr>
            <w:pStyle w:val="Bibliography1"/>
            <w:spacing w:before="0" w:beforeAutospacing="0" w:after="0" w:afterAutospacing="0" w:line="480" w:lineRule="auto"/>
          </w:pPr>
          <w:r w:rsidRPr="00075B5A">
            <w:t>2. Nachamkin I, Kirn TJ, Westblade LF, Humphries R. 2017. Assessing Clinical Microbiology Practice Guidelines: American Society for Microbiology Ad Hoc Committee on Evidence-Based Laboratory Medicine Practice Guidelines Assessment. Journal of Clinical Microbiology 55:3183–3193.</w:t>
          </w:r>
        </w:p>
        <w:p w14:paraId="4E0CCFAB" w14:textId="77777777" w:rsidR="006563F6" w:rsidRPr="00075B5A" w:rsidRDefault="006563F6" w:rsidP="006563F6">
          <w:pPr>
            <w:pStyle w:val="Bibliography1"/>
            <w:spacing w:before="0" w:beforeAutospacing="0" w:after="0" w:afterAutospacing="0" w:line="480" w:lineRule="auto"/>
          </w:pPr>
          <w:r w:rsidRPr="00075B5A">
            <w:t>3. Carande-Kulis V, Elder RW, Matson-Koffman D. 2022. Standards Required for the Development of CDC Evidence-Based Guidelines. Morbidity and Mortality Weekly Report 71:1–6.</w:t>
          </w:r>
        </w:p>
        <w:p w14:paraId="5C87C203" w14:textId="77777777" w:rsidR="006563F6" w:rsidRPr="00075B5A" w:rsidRDefault="006563F6" w:rsidP="006563F6">
          <w:pPr>
            <w:pStyle w:val="Bibliography1"/>
            <w:spacing w:before="0" w:beforeAutospacing="0" w:after="0" w:afterAutospacing="0" w:line="480" w:lineRule="auto"/>
          </w:pPr>
          <w:r w:rsidRPr="00075B5A">
            <w:t>4. Ratnani I, Fatima S, Abid MM, Surani Z, Surani S. 2023. Evidence-Based Medicine: History, Review, Criticisms, and Pitfalls. Cureus 15:e35266.</w:t>
          </w:r>
        </w:p>
        <w:p w14:paraId="5F2AE6B2" w14:textId="77777777" w:rsidR="006563F6" w:rsidRPr="00075B5A" w:rsidRDefault="006563F6" w:rsidP="006563F6">
          <w:pPr>
            <w:pStyle w:val="Bibliography1"/>
            <w:spacing w:before="0" w:beforeAutospacing="0" w:after="0" w:afterAutospacing="0" w:line="480" w:lineRule="auto"/>
          </w:pPr>
          <w:r w:rsidRPr="00075B5A">
            <w:t xml:space="preserve">5. Mandell BF, Wasserman MR. 2024. Clinical Decision-Making Strategies. Merck Manual Professional Version. </w:t>
          </w:r>
          <w:hyperlink r:id="rId20" w:history="1">
            <w:r w:rsidRPr="00075B5A">
              <w:rPr>
                <w:rStyle w:val="Hyperlink"/>
              </w:rPr>
              <w:t>https://www.merckmanuals.com/professional/special-subjects/clinical-decision-making/clinical-decision-making-strategies</w:t>
            </w:r>
          </w:hyperlink>
          <w:r w:rsidRPr="00075B5A">
            <w:t>.</w:t>
          </w:r>
        </w:p>
        <w:p w14:paraId="0BE1334D" w14:textId="77777777" w:rsidR="006563F6" w:rsidRPr="00075B5A" w:rsidRDefault="006563F6" w:rsidP="006563F6">
          <w:pPr>
            <w:pStyle w:val="Bibliography1"/>
            <w:spacing w:before="0" w:beforeAutospacing="0" w:after="0" w:afterAutospacing="0" w:line="480" w:lineRule="auto"/>
          </w:pPr>
          <w:r w:rsidRPr="00075B5A">
            <w:t xml:space="preserve">6. National Center for Complementary and Integrative Health. Clinical Practice Guidelines. </w:t>
          </w:r>
          <w:hyperlink r:id="rId21" w:history="1">
            <w:r w:rsidRPr="00075B5A">
              <w:rPr>
                <w:rStyle w:val="Hyperlink"/>
              </w:rPr>
              <w:t>https://www.nccih.nih.gov/health/providers/clinicalpractice</w:t>
            </w:r>
          </w:hyperlink>
          <w:r w:rsidRPr="00075B5A">
            <w:t>.</w:t>
          </w:r>
        </w:p>
        <w:p w14:paraId="5979D562" w14:textId="77777777" w:rsidR="006563F6" w:rsidRPr="00075B5A" w:rsidRDefault="006563F6" w:rsidP="006563F6">
          <w:pPr>
            <w:pStyle w:val="Bibliography1"/>
            <w:spacing w:before="0" w:beforeAutospacing="0" w:after="0" w:afterAutospacing="0" w:line="480" w:lineRule="auto"/>
          </w:pPr>
          <w:r w:rsidRPr="00075B5A">
            <w:t xml:space="preserve">7. Lin JS. 2024. Overview of clinical practice guidelines. UpToDate. </w:t>
          </w:r>
          <w:hyperlink r:id="rId22" w:history="1">
            <w:r w:rsidRPr="00075B5A">
              <w:rPr>
                <w:rStyle w:val="Hyperlink"/>
              </w:rPr>
              <w:t>https://www.uptodate.com/contents/overview-of-clinical-practice-guidelines/print</w:t>
            </w:r>
          </w:hyperlink>
          <w:r w:rsidRPr="00075B5A">
            <w:t>.</w:t>
          </w:r>
        </w:p>
        <w:p w14:paraId="31FBE439" w14:textId="77777777" w:rsidR="006563F6" w:rsidRPr="00075B5A" w:rsidRDefault="006563F6" w:rsidP="006563F6">
          <w:pPr>
            <w:pStyle w:val="Bibliography1"/>
            <w:spacing w:before="0" w:beforeAutospacing="0" w:after="0" w:afterAutospacing="0" w:line="480" w:lineRule="auto"/>
          </w:pPr>
          <w:r w:rsidRPr="00075B5A">
            <w:t>8. CDC Guidelines and Recommendations Work Group Version 1.0. 2012. Guidelines and Recommendations: A CDC Primer. Office of the Associate Director for Science Centers for Disease Control and Prevention.</w:t>
          </w:r>
        </w:p>
        <w:p w14:paraId="276F2D75" w14:textId="77777777" w:rsidR="006563F6" w:rsidRPr="00075B5A" w:rsidRDefault="006563F6" w:rsidP="006563F6">
          <w:pPr>
            <w:pStyle w:val="Bibliography1"/>
            <w:spacing w:before="0" w:beforeAutospacing="0" w:after="0" w:afterAutospacing="0" w:line="480" w:lineRule="auto"/>
          </w:pPr>
          <w:r w:rsidRPr="00075B5A">
            <w:lastRenderedPageBreak/>
            <w:t>9. Lim W, Arnold DM, Bachanova V, Haspel RL, Rosovsky RP, Shustov AR, Crowther MA. 2008. Evidence-Based Guidelines—An Introduction. Hematology, American Society of Hematology Education Program 2008:26–30.</w:t>
          </w:r>
        </w:p>
        <w:p w14:paraId="6F2FB7AB" w14:textId="77777777" w:rsidR="006563F6" w:rsidRPr="00075B5A" w:rsidRDefault="006563F6" w:rsidP="006563F6">
          <w:pPr>
            <w:pStyle w:val="Bibliography1"/>
            <w:spacing w:before="0" w:beforeAutospacing="0" w:after="0" w:afterAutospacing="0" w:line="480" w:lineRule="auto"/>
          </w:pPr>
          <w:r w:rsidRPr="00075B5A">
            <w:t>10. Christenson RH, Snyder SR, Shaw CS, Derzon JH, Black RS, Mass D, Epner P, Favoretto AM, Liebow EB. 2011. Laboratory medicine best practices: systematic evidence review and evaluation      methods for quality improvement. Clin Chem 57:816–25.</w:t>
          </w:r>
        </w:p>
        <w:p w14:paraId="14A616FB" w14:textId="77777777" w:rsidR="006563F6" w:rsidRPr="00075B5A" w:rsidRDefault="006563F6" w:rsidP="006563F6">
          <w:pPr>
            <w:pStyle w:val="Bibliography1"/>
            <w:spacing w:before="0" w:beforeAutospacing="0" w:after="0" w:afterAutospacing="0" w:line="480" w:lineRule="auto"/>
          </w:pPr>
          <w:r w:rsidRPr="00075B5A">
            <w:t>11. Paez A. 2017. Gray literature: An important resource in systematic reviews. J Evid Based Med 10:233–240.</w:t>
          </w:r>
        </w:p>
        <w:p w14:paraId="42CC5866" w14:textId="77777777" w:rsidR="006563F6" w:rsidRPr="00075B5A" w:rsidRDefault="006563F6" w:rsidP="006563F6">
          <w:pPr>
            <w:pStyle w:val="Bibliography1"/>
            <w:spacing w:before="0" w:beforeAutospacing="0" w:after="0" w:afterAutospacing="0" w:line="480" w:lineRule="auto"/>
          </w:pPr>
          <w:r w:rsidRPr="00075B5A">
            <w:t xml:space="preserve">12. Schopfel J. Towards a Prague Definition of Grey Literature. </w:t>
          </w:r>
          <w:hyperlink r:id="rId23" w:history="1">
            <w:r w:rsidRPr="00075B5A">
              <w:rPr>
                <w:rStyle w:val="Hyperlink"/>
              </w:rPr>
              <w:t>https://greynet.org/images/GL12_S1P</w:t>
            </w:r>
          </w:hyperlink>
          <w:r w:rsidRPr="00075B5A">
            <w:t>,_Sch_pfel.pdf.</w:t>
          </w:r>
        </w:p>
        <w:p w14:paraId="34682A41" w14:textId="77777777" w:rsidR="006563F6" w:rsidRPr="00075B5A" w:rsidRDefault="006563F6" w:rsidP="006563F6">
          <w:pPr>
            <w:pStyle w:val="Bibliography1"/>
            <w:spacing w:before="0" w:beforeAutospacing="0" w:after="0" w:afterAutospacing="0" w:line="480" w:lineRule="auto"/>
          </w:pPr>
          <w:r w:rsidRPr="00075B5A">
            <w:t>13. Page MJ, McKenzie JE, Bossuyt PM, Boutron I, Hoffmann TC, Mulrow CD, Shamseer L, Tetzlaff JM, Akl EA, Brennan SE, Chou R, Glanville J, Grimshaw JM, Hróbjartsson A, Lalu MM, Li T, Loder EW, Mayo-Wilson E, McDonald S, McGuinness LA, Stewart LA, Thomas J, Tricco AC, Welch VA, Whiting P, Moher D. 2021. The PRISMA 2020 statement: an updated guideline for reporting systematic reviews. BMJ 372:n71.</w:t>
          </w:r>
        </w:p>
        <w:p w14:paraId="1B29DA5B" w14:textId="77777777" w:rsidR="006563F6" w:rsidRPr="00075B5A" w:rsidRDefault="006563F6" w:rsidP="006563F6">
          <w:pPr>
            <w:pStyle w:val="Bibliography1"/>
            <w:spacing w:before="0" w:beforeAutospacing="0" w:after="0" w:afterAutospacing="0" w:line="480" w:lineRule="auto"/>
          </w:pPr>
          <w:r w:rsidRPr="00075B5A">
            <w:t>14. Christenson RH. 2012. Preamble: 'Evidence in Action: The Laboratory Medicine Best Practice Initiative". Clinical Biochemistry 45:977–978.</w:t>
          </w:r>
        </w:p>
        <w:p w14:paraId="2FAA8743" w14:textId="77777777" w:rsidR="006563F6" w:rsidRPr="00075B5A" w:rsidRDefault="006563F6" w:rsidP="006563F6">
          <w:pPr>
            <w:pStyle w:val="Bibliography1"/>
            <w:spacing w:before="0" w:beforeAutospacing="0" w:after="0" w:afterAutospacing="0" w:line="480" w:lineRule="auto"/>
          </w:pPr>
          <w:r w:rsidRPr="00075B5A">
            <w:t xml:space="preserve">15. Parrott JS, SRDR Governance Board, SRDR Team. 2025. Making Evidence Synthesis Data More Accessible and Reusable. </w:t>
          </w:r>
          <w:hyperlink r:id="rId24" w:history="1">
            <w:r w:rsidRPr="00075B5A">
              <w:rPr>
                <w:rStyle w:val="Hyperlink"/>
              </w:rPr>
              <w:t>https://effectivehealthcare.ahrq.gov/about/srdr-reflections</w:t>
            </w:r>
          </w:hyperlink>
          <w:r w:rsidRPr="00075B5A">
            <w:t>.</w:t>
          </w:r>
        </w:p>
        <w:p w14:paraId="3C13E3A4" w14:textId="77777777" w:rsidR="006563F6" w:rsidRPr="00075B5A" w:rsidRDefault="006563F6" w:rsidP="006563F6">
          <w:pPr>
            <w:pStyle w:val="Bibliography1"/>
            <w:spacing w:before="0" w:beforeAutospacing="0" w:after="0" w:afterAutospacing="0" w:line="480" w:lineRule="auto"/>
          </w:pPr>
          <w:r w:rsidRPr="00075B5A">
            <w:t>16. Shiffman RN, Michel G, Rosenfeld RM, Davidson C. 2012. Building better guidelines with BRIDGE-Wiz: development and evaluation of a      software assistant to promote clarity, transparency, and implementability. J Am Med Inform Assoc 19:94–101.</w:t>
          </w:r>
        </w:p>
        <w:p w14:paraId="6210DD4C" w14:textId="77777777" w:rsidR="006563F6" w:rsidRPr="00075B5A" w:rsidRDefault="006563F6" w:rsidP="006563F6">
          <w:pPr>
            <w:pStyle w:val="Bibliography1"/>
            <w:spacing w:before="0" w:beforeAutospacing="0" w:after="0" w:afterAutospacing="0" w:line="480" w:lineRule="auto"/>
          </w:pPr>
          <w:r w:rsidRPr="00075B5A">
            <w:lastRenderedPageBreak/>
            <w:t>17. Shea BJ, Reeves BC, Wells G, Thuku M, Hamel C, Moran J, Moher D, Tugwell P, Welch V, Kristjansson E, Henry DA. 2017. AMSTAR 2: a critical appraisal tool for systematic reviews that include randomised or non-randomised studies of healthcare interventions, or both. BMJ 358:j4008.</w:t>
          </w:r>
        </w:p>
        <w:p w14:paraId="3C069AD4" w14:textId="77777777" w:rsidR="006563F6" w:rsidRPr="00075B5A" w:rsidRDefault="006563F6" w:rsidP="006563F6">
          <w:pPr>
            <w:pStyle w:val="Bibliography1"/>
            <w:spacing w:before="0" w:beforeAutospacing="0" w:after="0" w:afterAutospacing="0" w:line="480" w:lineRule="auto"/>
          </w:pPr>
          <w:r w:rsidRPr="00075B5A">
            <w:t>18. Schünemann HJ, Brennan S, Akl EA, Hultcrantz M, Alonso-Coello P, Xia J, Davoli M, Rojas MX, Meerpohl JJ, Flottorp S, Guyatt G, Mustafa RA, Langendam M, Dahm P. 2023. The development methods of official GRADE articles and requirements for claiming      the use of GRADE - A statement by the GRADE guidance group. J Clin Epidemiol 159:79–84.</w:t>
          </w:r>
        </w:p>
        <w:p w14:paraId="646E9845" w14:textId="77777777" w:rsidR="006563F6" w:rsidRPr="00075B5A" w:rsidRDefault="006563F6" w:rsidP="006563F6">
          <w:pPr>
            <w:pStyle w:val="Bibliography1"/>
            <w:spacing w:before="0" w:beforeAutospacing="0" w:after="0" w:afterAutospacing="0" w:line="480" w:lineRule="auto"/>
          </w:pPr>
          <w:r w:rsidRPr="00075B5A">
            <w:t>19. Saubolle MA, Weissfeld AS, Kraft CS. 2018. Designing Studies Acceptable for Abstraction and Inclusion in Evidence-Based Laboratory Practice Guidelines. J Clin Microbiol 57:10.1128/jcm.00842-18.</w:t>
          </w:r>
        </w:p>
        <w:p w14:paraId="01D4866E" w14:textId="77777777" w:rsidR="006563F6" w:rsidRPr="00075B5A" w:rsidRDefault="006563F6" w:rsidP="006563F6">
          <w:pPr>
            <w:pStyle w:val="Bibliography1"/>
            <w:spacing w:before="0" w:beforeAutospacing="0" w:after="0" w:afterAutospacing="0" w:line="480" w:lineRule="auto"/>
          </w:pPr>
          <w:r w:rsidRPr="00075B5A">
            <w:t>20. Campbell G. 2013. FDA Guidance: “Design Considerations for Pivotal Clinical Investigations for Medical Devices.”</w:t>
          </w:r>
        </w:p>
        <w:p w14:paraId="5135EAFF" w14:textId="77777777" w:rsidR="006563F6" w:rsidRPr="00075B5A" w:rsidRDefault="006563F6" w:rsidP="006563F6">
          <w:pPr>
            <w:pStyle w:val="Bibliography1"/>
            <w:spacing w:before="0" w:beforeAutospacing="0" w:after="0" w:afterAutospacing="0" w:line="480" w:lineRule="auto"/>
          </w:pPr>
          <w:r w:rsidRPr="00075B5A">
            <w:t>21. Bossuyt PM, Reitsma JB, Bruns DE, Gatsonis CA, Glasziou PP, Irwig L, Lijmer JG, Moher D, Rennie D, Vet HCW de, Kressel HY, Rifai N, Golub RM, Altman DG, Hooft L, Korevaar DA, Cohen JF. 2015. STARD 2015: an updated list of essential items for reporting diagnostic accuracy      studies. BMJ 351:h5527.</w:t>
          </w:r>
        </w:p>
        <w:p w14:paraId="1C852BF5" w14:textId="77777777" w:rsidR="006563F6" w:rsidRPr="00075B5A" w:rsidRDefault="006563F6" w:rsidP="006563F6">
          <w:pPr>
            <w:pStyle w:val="Bibliography1"/>
            <w:spacing w:before="0" w:beforeAutospacing="0" w:after="0" w:afterAutospacing="0" w:line="480" w:lineRule="auto"/>
          </w:pPr>
          <w:r w:rsidRPr="00075B5A">
            <w:t>22. Sautter RL, Parrott JS, Nachamkin I, Diel C, Tom RJ, Bobenchik AM, Bradford JY, Gilligan P, Halstead DC, LaSala PR, Mochon AB, Mortensen JE, Boyce L, Baselski V. 2024. American Society for Microbiology evidence-based laboratory medicine practice      guidelines to reduce blood culture contamination rates: a systematic review and      meta-analysis. Clin Microbiol Rev 37:e0008724.</w:t>
          </w:r>
        </w:p>
        <w:p w14:paraId="3BF40F06" w14:textId="77777777" w:rsidR="006563F6" w:rsidRPr="00075B5A" w:rsidRDefault="006563F6" w:rsidP="006563F6">
          <w:pPr>
            <w:pStyle w:val="Bibliography1"/>
            <w:spacing w:before="0" w:beforeAutospacing="0" w:after="0" w:afterAutospacing="0" w:line="480" w:lineRule="auto"/>
          </w:pPr>
          <w:r w:rsidRPr="00075B5A">
            <w:lastRenderedPageBreak/>
            <w:t>23. Kraft CS, Parrott JS, Cornish NE, Rubinstein ML, Weissfeld AS, McNult P, Nachamkin I, Humphries RM, Kirn TJ, Bard JD, Lutgring JD, Gullett JC, Bittencourt CE, Benson S, Bobenchik AM, Sautter RL, Baselski V, Atlas MC, Marlowe EM, Miller NS, Fischer M, S. RS, Gilligan P, Snyder JW. 2019. A Laboratory Medicine Best Practices Systematic Review and Meta-analysis of Nucleic Acid Amplification Tests (NAATs) and Algorithms Including NAATs for the Diagnosis of Clostridioides (Clostridium) difficile in Adults. Clinical Microbiology Reviews 32:10.1128/cmr.00032-18.</w:t>
          </w:r>
        </w:p>
        <w:p w14:paraId="1CF13BCA" w14:textId="77777777" w:rsidR="006563F6" w:rsidRPr="00075B5A" w:rsidRDefault="006563F6" w:rsidP="006563F6">
          <w:pPr>
            <w:pStyle w:val="Bibliography1"/>
            <w:spacing w:before="0" w:beforeAutospacing="0" w:after="0" w:afterAutospacing="0" w:line="480" w:lineRule="auto"/>
          </w:pPr>
          <w:r w:rsidRPr="00075B5A">
            <w:t>24. Buehler SS, Madison B, Snyder SR, Derzon JH, Cornish NE, Saubolle MA, Weissfeld AS, Weinstein MP, Liebow EB, Wolk DM. 2016. Effectiveness of Practices To Increase Timeliness of Providing Targeted Therapy      for Inpatients with Bloodstream Infections: a Laboratory Medicine Best Practices      Systematic Review and Meta-analysis. Clin Microbiol Rev 29:59–103.</w:t>
          </w:r>
        </w:p>
        <w:p w14:paraId="6D8F695B" w14:textId="77777777" w:rsidR="006563F6" w:rsidRPr="00075B5A" w:rsidRDefault="006563F6" w:rsidP="006563F6">
          <w:pPr>
            <w:pStyle w:val="Bibliography1"/>
            <w:spacing w:before="0" w:beforeAutospacing="0" w:after="0" w:afterAutospacing="0" w:line="480" w:lineRule="auto"/>
          </w:pPr>
          <w:r w:rsidRPr="00075B5A">
            <w:t>25. LaRocco MT, Franek J, Leibach EK, Weissfeld AS, Kraft CS, Sautter RL, Baselski V, Rodahl D, Peterson EJ, Cornish NE. 2016. Effectiveness of Preanalytic Practices on Contamination and Diagnostic Accuracy      of Urine Cultures: a Laboratory Medicine Best Practices Systematic Review and      Meta-analysis. Clin Microbiol Rev 29:105–47.</w:t>
          </w:r>
        </w:p>
        <w:p w14:paraId="31C9B202" w14:textId="77777777" w:rsidR="006563F6" w:rsidRPr="00075B5A" w:rsidRDefault="006563F6" w:rsidP="006563F6">
          <w:pPr>
            <w:pStyle w:val="Bibliography1"/>
            <w:spacing w:before="0" w:beforeAutospacing="0" w:after="0" w:afterAutospacing="0" w:line="480" w:lineRule="auto"/>
          </w:pPr>
          <w:r w:rsidRPr="00075B5A">
            <w:t>26. U.S. Food and Drug Administration. 1998. Guidance for Industry: General/Specific Intended Use.</w:t>
          </w:r>
        </w:p>
        <w:p w14:paraId="21BECA93" w14:textId="77777777" w:rsidR="006563F6" w:rsidRPr="00075B5A" w:rsidRDefault="006563F6" w:rsidP="006563F6">
          <w:pPr>
            <w:pStyle w:val="Bibliography1"/>
            <w:spacing w:before="0" w:beforeAutospacing="0" w:after="0" w:afterAutospacing="0" w:line="480" w:lineRule="auto"/>
          </w:pPr>
          <w:r w:rsidRPr="00075B5A">
            <w:t xml:space="preserve">27. European Commission. CE Marking. </w:t>
          </w:r>
          <w:hyperlink r:id="rId25" w:anchor=":~:text=The%20letters%20" w:history="1">
            <w:r w:rsidRPr="00075B5A">
              <w:rPr>
                <w:rStyle w:val="Hyperlink"/>
              </w:rPr>
              <w:t>https://single-market-economy.ec.europa.eu/single-market/goods/ce-marking_en#:~:text=The%20letters%20</w:t>
            </w:r>
          </w:hyperlink>
          <w:r w:rsidRPr="00075B5A">
            <w:t>’CE’%20appear%20on,health%2C%20and%20environmental%20protection%20requirements.</w:t>
          </w:r>
        </w:p>
        <w:p w14:paraId="2F6E26B2" w14:textId="77777777" w:rsidR="006563F6" w:rsidRPr="00075B5A" w:rsidRDefault="006563F6" w:rsidP="006563F6">
          <w:pPr>
            <w:pStyle w:val="Bibliography1"/>
            <w:spacing w:before="0" w:beforeAutospacing="0" w:after="0" w:afterAutospacing="0" w:line="480" w:lineRule="auto"/>
          </w:pPr>
          <w:r w:rsidRPr="00075B5A">
            <w:lastRenderedPageBreak/>
            <w:t>28. Budelier MM, Hubbard JA. 2023. The regulatory landscape of laboratory developed tests: Past, present, and a      perspective on the future. J Mass Spectrom Adv Clin Lab 28:67–69.</w:t>
          </w:r>
        </w:p>
        <w:p w14:paraId="2FCF4478" w14:textId="77777777" w:rsidR="006563F6" w:rsidRPr="00075B5A" w:rsidRDefault="006563F6" w:rsidP="006563F6">
          <w:pPr>
            <w:pStyle w:val="Bibliography1"/>
            <w:spacing w:before="0" w:beforeAutospacing="0" w:after="0" w:afterAutospacing="0" w:line="480" w:lineRule="auto"/>
          </w:pPr>
          <w:r w:rsidRPr="00075B5A">
            <w:t>29. College of American Pathologists. 2023. All Common Checklist.</w:t>
          </w:r>
        </w:p>
        <w:p w14:paraId="3D828636" w14:textId="77777777" w:rsidR="006563F6" w:rsidRPr="00075B5A" w:rsidRDefault="006563F6" w:rsidP="006563F6">
          <w:pPr>
            <w:pStyle w:val="Bibliography1"/>
            <w:spacing w:before="0" w:beforeAutospacing="0" w:after="0" w:afterAutospacing="0" w:line="480" w:lineRule="auto"/>
          </w:pPr>
          <w:r w:rsidRPr="00075B5A">
            <w:t>30. Code of Federal Regulations. 2025. § 493.1253 Standard: Establishment and verification of performance specifications. 42 CFR 493.1253.</w:t>
          </w:r>
        </w:p>
        <w:p w14:paraId="3698C353" w14:textId="03BF4FF2" w:rsidR="00746428" w:rsidRDefault="006563F6" w:rsidP="000E03B1">
          <w:pPr>
            <w:pStyle w:val="Bibliography1"/>
            <w:spacing w:before="0" w:beforeAutospacing="0" w:after="0" w:afterAutospacing="0" w:line="480" w:lineRule="auto"/>
          </w:pPr>
          <w:r w:rsidRPr="00075B5A">
            <w:t>31. Serdar CC, Cihan M, Yücel D, Serdar MA. 2021. Sample size, power and effect size revisited: simplified and practical approaches in pre-clinical, clinical and laboratory studies. Biochem Med 31:0–0.</w:t>
          </w:r>
        </w:p>
        <w:p w14:paraId="585987C8" w14:textId="77777777" w:rsidR="000E03B1" w:rsidRDefault="000E03B1" w:rsidP="000E03B1">
          <w:pPr>
            <w:pStyle w:val="Bibliography1"/>
            <w:spacing w:before="0" w:beforeAutospacing="0" w:after="0" w:afterAutospacing="0" w:line="480" w:lineRule="auto"/>
          </w:pPr>
        </w:p>
        <w:p w14:paraId="55108BB3" w14:textId="77777777" w:rsidR="000E03B1" w:rsidRDefault="000E03B1" w:rsidP="000E03B1">
          <w:pPr>
            <w:pStyle w:val="Bibliography1"/>
            <w:spacing w:before="0" w:beforeAutospacing="0" w:after="0" w:afterAutospacing="0" w:line="480" w:lineRule="auto"/>
          </w:pPr>
        </w:p>
        <w:p w14:paraId="75AEAF5F" w14:textId="77777777" w:rsidR="000E03B1" w:rsidRPr="000E03B1" w:rsidRDefault="00000000" w:rsidP="000E03B1">
          <w:pPr>
            <w:pStyle w:val="Bibliography1"/>
            <w:spacing w:before="0" w:beforeAutospacing="0" w:after="0" w:afterAutospacing="0" w:line="480" w:lineRule="auto"/>
          </w:pPr>
        </w:p>
      </w:sdtContent>
    </w:sdt>
    <w:p w14:paraId="2986CB9B" w14:textId="6E95D3AA" w:rsidR="000E03B1" w:rsidRPr="000E03B1" w:rsidRDefault="00746428" w:rsidP="000E03B1">
      <w:pPr>
        <w:spacing w:after="0" w:line="480" w:lineRule="auto"/>
        <w:rPr>
          <w:rFonts w:ascii="Times New Roman" w:hAnsi="Times New Roman" w:cs="Times New Roman"/>
          <w:b/>
          <w:bCs/>
          <w:color w:val="FF0000"/>
          <w:sz w:val="24"/>
          <w:szCs w:val="24"/>
        </w:rPr>
      </w:pPr>
      <w:r w:rsidRPr="00075B5A">
        <w:rPr>
          <w:rFonts w:ascii="Times New Roman" w:hAnsi="Times New Roman" w:cs="Times New Roman"/>
          <w:b/>
          <w:bCs/>
          <w:color w:val="FF0000"/>
          <w:sz w:val="24"/>
          <w:szCs w:val="24"/>
        </w:rPr>
        <w:t xml:space="preserve"> </w:t>
      </w:r>
      <w:bookmarkStart w:id="38" w:name="_Ref172117480"/>
      <w:r w:rsidR="000E03B1">
        <w:t xml:space="preserve">Table </w:t>
      </w:r>
      <w:fldSimple w:instr=" SEQ Table \* ARABIC ">
        <w:r w:rsidR="000E03B1">
          <w:rPr>
            <w:noProof/>
          </w:rPr>
          <w:t>1</w:t>
        </w:r>
      </w:fldSimple>
      <w:bookmarkEnd w:id="38"/>
      <w:r w:rsidR="000E03B1">
        <w:t>. Common Study Designs: Benefits and Considerations</w:t>
      </w:r>
    </w:p>
    <w:tbl>
      <w:tblPr>
        <w:tblStyle w:val="TableGrid"/>
        <w:tblW w:w="0" w:type="auto"/>
        <w:tblLook w:val="04A0" w:firstRow="1" w:lastRow="0" w:firstColumn="1" w:lastColumn="0" w:noHBand="0" w:noVBand="1"/>
      </w:tblPr>
      <w:tblGrid>
        <w:gridCol w:w="2178"/>
        <w:gridCol w:w="2378"/>
        <w:gridCol w:w="2449"/>
        <w:gridCol w:w="2345"/>
      </w:tblGrid>
      <w:tr w:rsidR="000E03B1" w14:paraId="54D11F5D" w14:textId="77777777" w:rsidTr="004A19DB">
        <w:tc>
          <w:tcPr>
            <w:tcW w:w="3116" w:type="dxa"/>
          </w:tcPr>
          <w:p w14:paraId="333DD47F" w14:textId="77777777" w:rsidR="000E03B1" w:rsidRDefault="000E03B1">
            <w:r>
              <w:t>Design</w:t>
            </w:r>
          </w:p>
        </w:tc>
        <w:tc>
          <w:tcPr>
            <w:tcW w:w="3117" w:type="dxa"/>
          </w:tcPr>
          <w:p w14:paraId="660DE826" w14:textId="77777777" w:rsidR="000E03B1" w:rsidRDefault="000E03B1">
            <w:r>
              <w:t>Benefits</w:t>
            </w:r>
          </w:p>
        </w:tc>
        <w:tc>
          <w:tcPr>
            <w:tcW w:w="3117" w:type="dxa"/>
          </w:tcPr>
          <w:p w14:paraId="3E8FD5BE" w14:textId="77777777" w:rsidR="000E03B1" w:rsidRDefault="000E03B1">
            <w:r>
              <w:t>Considerations</w:t>
            </w:r>
          </w:p>
        </w:tc>
        <w:tc>
          <w:tcPr>
            <w:tcW w:w="3117" w:type="dxa"/>
          </w:tcPr>
          <w:p w14:paraId="2F07AEFE" w14:textId="77777777" w:rsidR="000E03B1" w:rsidRDefault="000E03B1">
            <w:commentRangeStart w:id="39"/>
            <w:r>
              <w:t>Example Questions</w:t>
            </w:r>
            <w:commentRangeEnd w:id="39"/>
            <w:r>
              <w:rPr>
                <w:rStyle w:val="CommentReference"/>
                <w:sz w:val="22"/>
                <w:szCs w:val="22"/>
              </w:rPr>
              <w:commentReference w:id="39"/>
            </w:r>
          </w:p>
        </w:tc>
      </w:tr>
      <w:tr w:rsidR="000E03B1" w14:paraId="372B3098" w14:textId="77777777" w:rsidTr="004A19DB">
        <w:tc>
          <w:tcPr>
            <w:tcW w:w="3116" w:type="dxa"/>
          </w:tcPr>
          <w:p w14:paraId="75AD0B7F" w14:textId="77777777" w:rsidR="000E03B1" w:rsidRDefault="000E03B1">
            <w:r>
              <w:t>Controlled Designs</w:t>
            </w:r>
          </w:p>
        </w:tc>
        <w:tc>
          <w:tcPr>
            <w:tcW w:w="3117" w:type="dxa"/>
          </w:tcPr>
          <w:p w14:paraId="0A9F09BE" w14:textId="77777777" w:rsidR="000E03B1" w:rsidRDefault="000E03B1">
            <w:r w:rsidRPr="005E5CFE">
              <w:t>Able to identify the effect of a discrete treatment or intervention most clearly, particularly if randomized</w:t>
            </w:r>
            <w:r>
              <w:t>.</w:t>
            </w:r>
          </w:p>
        </w:tc>
        <w:tc>
          <w:tcPr>
            <w:tcW w:w="3117" w:type="dxa"/>
          </w:tcPr>
          <w:p w14:paraId="12456238" w14:textId="77777777" w:rsidR="000E03B1" w:rsidRDefault="000E03B1" w:rsidP="005E5CFE">
            <w:r w:rsidRPr="005E5CFE">
              <w:t>•</w:t>
            </w:r>
            <w:r w:rsidRPr="005E5CFE">
              <w:tab/>
              <w:t xml:space="preserve">Often costly and may be practically infeasible for larger process improvement efforts. </w:t>
            </w:r>
          </w:p>
          <w:p w14:paraId="0AD5A78F" w14:textId="77777777" w:rsidR="000E03B1" w:rsidRDefault="000E03B1" w:rsidP="005E5CFE">
            <w:r w:rsidRPr="005E5CFE">
              <w:t>•</w:t>
            </w:r>
            <w:r w:rsidRPr="005E5CFE">
              <w:tab/>
              <w:t xml:space="preserve">May not be an appropriate design if closely similar comparator conditions cannot be established. </w:t>
            </w:r>
          </w:p>
          <w:p w14:paraId="4189C8AE" w14:textId="77777777" w:rsidR="000E03B1" w:rsidRDefault="000E03B1" w:rsidP="005E5CFE">
            <w:r w:rsidRPr="005E5CFE">
              <w:t>•</w:t>
            </w:r>
            <w:r w:rsidRPr="005E5CFE">
              <w:tab/>
              <w:t xml:space="preserve">Less useful for complex or multicomponent interventions. </w:t>
            </w:r>
          </w:p>
          <w:p w14:paraId="5DE489BC" w14:textId="77777777" w:rsidR="000E03B1" w:rsidRDefault="000E03B1" w:rsidP="005E5CFE">
            <w:r w:rsidRPr="005E5CFE">
              <w:t>•</w:t>
            </w:r>
            <w:r w:rsidRPr="005E5CFE">
              <w:tab/>
              <w:t xml:space="preserve">Statistical adjustment may still be necessary. </w:t>
            </w:r>
          </w:p>
          <w:p w14:paraId="2384D8ED" w14:textId="77777777" w:rsidR="000E03B1" w:rsidRDefault="000E03B1" w:rsidP="005E5CFE">
            <w:r w:rsidRPr="005E5CFE">
              <w:t>•</w:t>
            </w:r>
            <w:r w:rsidRPr="005E5CFE">
              <w:tab/>
              <w:t xml:space="preserve">Susceptible to procedure “contamination” across arms if performed within a single unit or system. </w:t>
            </w:r>
          </w:p>
          <w:p w14:paraId="3A82B797" w14:textId="77777777" w:rsidR="000E03B1" w:rsidRDefault="000E03B1" w:rsidP="005E5CFE">
            <w:r w:rsidRPr="005E5CFE">
              <w:lastRenderedPageBreak/>
              <w:t>•</w:t>
            </w:r>
            <w:r w:rsidRPr="005E5CFE">
              <w:tab/>
              <w:t xml:space="preserve"> Cluster randomization may be necessary for organizations or unit-wide intervention</w:t>
            </w:r>
          </w:p>
        </w:tc>
        <w:tc>
          <w:tcPr>
            <w:tcW w:w="3117" w:type="dxa"/>
          </w:tcPr>
          <w:p w14:paraId="43C9FE3D" w14:textId="77777777" w:rsidR="000E03B1" w:rsidRDefault="000E03B1" w:rsidP="00842354">
            <w:r w:rsidRPr="005E5CFE">
              <w:lastRenderedPageBreak/>
              <w:t>What is the effectiveness of universal chlorhexidine bathing versus screening and isolation to reduce MRSA contamination in the ICU? (assumes a cluster design</w:t>
            </w:r>
            <w:r>
              <w:t>)</w:t>
            </w:r>
          </w:p>
        </w:tc>
      </w:tr>
      <w:tr w:rsidR="000E03B1" w14:paraId="1FA40ACA" w14:textId="77777777" w:rsidTr="004A19DB">
        <w:tc>
          <w:tcPr>
            <w:tcW w:w="3116" w:type="dxa"/>
          </w:tcPr>
          <w:p w14:paraId="0EF4072C" w14:textId="77777777" w:rsidR="000E03B1" w:rsidRDefault="000E03B1">
            <w:r>
              <w:t>Before/After (one arm)</w:t>
            </w:r>
          </w:p>
        </w:tc>
        <w:tc>
          <w:tcPr>
            <w:tcW w:w="3117" w:type="dxa"/>
          </w:tcPr>
          <w:p w14:paraId="42C3CF31" w14:textId="77777777" w:rsidR="000E03B1" w:rsidRDefault="000E03B1">
            <w:r w:rsidRPr="005E5CFE">
              <w:t>Useful for evaluating the effectiveness of interventions within a limited context (single clinic or system) before and after a clinic- or system-wide change in the process or procedure.</w:t>
            </w:r>
          </w:p>
        </w:tc>
        <w:tc>
          <w:tcPr>
            <w:tcW w:w="3117" w:type="dxa"/>
          </w:tcPr>
          <w:p w14:paraId="6CF06B15" w14:textId="77777777" w:rsidR="000E03B1" w:rsidRDefault="000E03B1" w:rsidP="005E5CFE">
            <w:r w:rsidRPr="005E5CFE">
              <w:t>•</w:t>
            </w:r>
            <w:r w:rsidRPr="005E5CFE">
              <w:tab/>
              <w:t xml:space="preserve">Weak design for establishing generalizable cause-effect relationships. </w:t>
            </w:r>
          </w:p>
          <w:p w14:paraId="5E48EE20" w14:textId="77777777" w:rsidR="000E03B1" w:rsidRDefault="000E03B1" w:rsidP="005E5CFE">
            <w:r w:rsidRPr="005E5CFE">
              <w:t>•</w:t>
            </w:r>
            <w:r w:rsidRPr="005E5CFE">
              <w:tab/>
              <w:t xml:space="preserve">Generally more cost-effective than controlled studies. </w:t>
            </w:r>
          </w:p>
          <w:p w14:paraId="2EE4383D" w14:textId="77777777" w:rsidR="000E03B1" w:rsidRDefault="000E03B1" w:rsidP="005E5CFE">
            <w:r w:rsidRPr="005E5CFE">
              <w:t>•</w:t>
            </w:r>
            <w:r w:rsidRPr="005E5CFE">
              <w:tab/>
              <w:t xml:space="preserve">Assume confounding is a risk.  </w:t>
            </w:r>
          </w:p>
          <w:p w14:paraId="044E443F" w14:textId="77777777" w:rsidR="000E03B1" w:rsidRDefault="000E03B1" w:rsidP="005E5CFE">
            <w:r w:rsidRPr="005E5CFE">
              <w:t>•</w:t>
            </w:r>
            <w:r w:rsidRPr="005E5CFE">
              <w:tab/>
              <w:t>May be particularly useful when using administrative data.</w:t>
            </w:r>
          </w:p>
        </w:tc>
        <w:tc>
          <w:tcPr>
            <w:tcW w:w="3117" w:type="dxa"/>
          </w:tcPr>
          <w:p w14:paraId="499CCE52" w14:textId="77777777" w:rsidR="000E03B1" w:rsidRDefault="000E03B1" w:rsidP="00842354">
            <w:r w:rsidRPr="005E5CFE">
              <w:t>What is the effect of implementing the use of a diversion device compared with no diversion device for reducing blood culture contamination?</w:t>
            </w:r>
          </w:p>
        </w:tc>
      </w:tr>
      <w:tr w:rsidR="000E03B1" w14:paraId="3FF0F869" w14:textId="77777777" w:rsidTr="004A19DB">
        <w:tc>
          <w:tcPr>
            <w:tcW w:w="3116" w:type="dxa"/>
          </w:tcPr>
          <w:p w14:paraId="733EA98B" w14:textId="77777777" w:rsidR="000E03B1" w:rsidRDefault="000E03B1">
            <w:r>
              <w:t>Cohort</w:t>
            </w:r>
          </w:p>
        </w:tc>
        <w:tc>
          <w:tcPr>
            <w:tcW w:w="3117" w:type="dxa"/>
          </w:tcPr>
          <w:p w14:paraId="45FB223F" w14:textId="77777777" w:rsidR="000E03B1" w:rsidRDefault="000E03B1">
            <w:r>
              <w:t>Useful for understanding the natural progress of a disease or condition.</w:t>
            </w:r>
          </w:p>
        </w:tc>
        <w:tc>
          <w:tcPr>
            <w:tcW w:w="3117" w:type="dxa"/>
          </w:tcPr>
          <w:p w14:paraId="4E5DA254" w14:textId="77777777" w:rsidR="000E03B1" w:rsidRDefault="000E03B1">
            <w:r w:rsidRPr="005E5CFE">
              <w:t>It should not be used for evaluating the effectiveness of an intervention or process improvement (e.g., evaluating post-intervention only).</w:t>
            </w:r>
          </w:p>
        </w:tc>
        <w:tc>
          <w:tcPr>
            <w:tcW w:w="3117" w:type="dxa"/>
          </w:tcPr>
          <w:p w14:paraId="79294961" w14:textId="77777777" w:rsidR="000E03B1" w:rsidRDefault="000E03B1">
            <w:r w:rsidRPr="005E5CFE">
              <w:t>What is the prognostic value of measuring troponin levels in establishing cardiovascular risk in patients presenting with chest pain?</w:t>
            </w:r>
          </w:p>
        </w:tc>
      </w:tr>
      <w:tr w:rsidR="000E03B1" w14:paraId="791F507D" w14:textId="77777777" w:rsidTr="004A19DB">
        <w:tc>
          <w:tcPr>
            <w:tcW w:w="3116" w:type="dxa"/>
          </w:tcPr>
          <w:p w14:paraId="1A76BCD2" w14:textId="77777777" w:rsidR="000E03B1" w:rsidRDefault="000E03B1">
            <w:r>
              <w:t>Cross-sectional</w:t>
            </w:r>
          </w:p>
        </w:tc>
        <w:tc>
          <w:tcPr>
            <w:tcW w:w="3117" w:type="dxa"/>
          </w:tcPr>
          <w:p w14:paraId="5836949C" w14:textId="77777777" w:rsidR="000E03B1" w:rsidRDefault="000E03B1">
            <w:r w:rsidRPr="005E5CFE">
              <w:t>Useful for establishing the prevalence of a disease, problem, or condition. Standard design for establishing diagnostic accuracy of a test.</w:t>
            </w:r>
          </w:p>
        </w:tc>
        <w:tc>
          <w:tcPr>
            <w:tcW w:w="3117" w:type="dxa"/>
          </w:tcPr>
          <w:p w14:paraId="40F01A16" w14:textId="77777777" w:rsidR="000E03B1" w:rsidRDefault="000E03B1">
            <w:r w:rsidRPr="005E5CFE">
              <w:t>Not appropriate for the evaluation of an intervention, process improvement, or treatment.</w:t>
            </w:r>
          </w:p>
        </w:tc>
        <w:tc>
          <w:tcPr>
            <w:tcW w:w="3117" w:type="dxa"/>
          </w:tcPr>
          <w:p w14:paraId="562589AB" w14:textId="77777777" w:rsidR="000E03B1" w:rsidRDefault="000E03B1">
            <w:r w:rsidRPr="005E5CFE">
              <w:t>What is the diagnostic accuracy of NAAT detection methods compared to blood culture for the detection of C difficile?</w:t>
            </w:r>
          </w:p>
        </w:tc>
      </w:tr>
      <w:tr w:rsidR="000E03B1" w14:paraId="21CDB26A" w14:textId="77777777" w:rsidTr="004A19DB">
        <w:tc>
          <w:tcPr>
            <w:tcW w:w="3116" w:type="dxa"/>
          </w:tcPr>
          <w:p w14:paraId="415FD6C7" w14:textId="77777777" w:rsidR="000E03B1" w:rsidRDefault="000E03B1">
            <w:r>
              <w:t>Mixed Methods</w:t>
            </w:r>
          </w:p>
        </w:tc>
        <w:tc>
          <w:tcPr>
            <w:tcW w:w="3117" w:type="dxa"/>
          </w:tcPr>
          <w:p w14:paraId="14BF6471" w14:textId="77777777" w:rsidR="000E03B1" w:rsidRDefault="000E03B1">
            <w:r>
              <w:t xml:space="preserve">Useful for understanding </w:t>
            </w:r>
            <w:r w:rsidRPr="00F97CD5">
              <w:rPr>
                <w:i/>
                <w:iCs/>
              </w:rPr>
              <w:t>how</w:t>
            </w:r>
            <w:r>
              <w:t xml:space="preserve"> and </w:t>
            </w:r>
            <w:r w:rsidRPr="00F97CD5">
              <w:rPr>
                <w:i/>
                <w:iCs/>
              </w:rPr>
              <w:t>why</w:t>
            </w:r>
            <w:r>
              <w:t xml:space="preserve"> complex or multicomponent interventions are effective (or not). </w:t>
            </w:r>
          </w:p>
        </w:tc>
        <w:tc>
          <w:tcPr>
            <w:tcW w:w="3117" w:type="dxa"/>
          </w:tcPr>
          <w:p w14:paraId="0D7CF5DB" w14:textId="77777777" w:rsidR="000E03B1" w:rsidRDefault="000E03B1">
            <w:r>
              <w:t>Time intensive.</w:t>
            </w:r>
          </w:p>
          <w:p w14:paraId="0DF08BE2" w14:textId="77777777" w:rsidR="000E03B1" w:rsidRDefault="000E03B1">
            <w:r>
              <w:t>Requires specialist research knowledge of qualitative methods.</w:t>
            </w:r>
          </w:p>
        </w:tc>
        <w:tc>
          <w:tcPr>
            <w:tcW w:w="3117" w:type="dxa"/>
          </w:tcPr>
          <w:p w14:paraId="60330EDA" w14:textId="77777777" w:rsidR="000E03B1" w:rsidRDefault="000E03B1">
            <w:r>
              <w:t xml:space="preserve">What are the barriers and facilitators of successful implementation of point-of-care testing in a community emergency department? </w:t>
            </w:r>
          </w:p>
        </w:tc>
      </w:tr>
    </w:tbl>
    <w:p w14:paraId="6B425197" w14:textId="77777777" w:rsidR="000E03B1" w:rsidRDefault="000E03B1">
      <w:pPr>
        <w:sectPr w:rsidR="000E03B1" w:rsidSect="000E03B1">
          <w:pgSz w:w="12240" w:h="15840"/>
          <w:pgMar w:top="1440" w:right="1440" w:bottom="1440" w:left="1440" w:header="720" w:footer="720" w:gutter="0"/>
          <w:lnNumType w:countBy="1" w:restart="continuous"/>
          <w:cols w:space="720"/>
          <w:docGrid w:linePitch="360"/>
        </w:sectPr>
      </w:pPr>
    </w:p>
    <w:p w14:paraId="6A40F9D3" w14:textId="77777777" w:rsidR="000E03B1" w:rsidRDefault="000E03B1" w:rsidP="00403204">
      <w:pPr>
        <w:pStyle w:val="Heading1"/>
      </w:pPr>
      <w:r>
        <w:lastRenderedPageBreak/>
        <w:t>The Importance of Statistical Confounding, Mediation and Moderation</w:t>
      </w:r>
    </w:p>
    <w:p w14:paraId="59BD0A1D" w14:textId="77777777" w:rsidR="000E03B1" w:rsidRDefault="000E03B1">
      <w:r w:rsidRPr="00D1630E">
        <w:t xml:space="preserve">Formally, a statistical confounder is a variable related to both the independent and dependent variables. Less formally, a confounder can be thought of as an organizational or contextual characteristic that influences both the process improvement effort and the outcome. For instance, imagine that a large hospital wants to determine whether implementation of NAAT diagnostic methods in conjunction with an active method of communicating results to providers results in decreased time to treatment. Let’s say that the evaluators use a before/after design (evaluate time to treatment before versus after the implementation of the new diagnostic system). However, during the post-implementation period the hospital experiences an unexpected surge in admissions. The increased load on the lab might result in both unanticipated changes in the communication of diagnostic results and could affect the time to treatment as well. So, the question about the true effect of the combined intervention would be obscured. </w:t>
      </w:r>
    </w:p>
    <w:p w14:paraId="4439DB0B" w14:textId="77777777" w:rsidR="000E03B1" w:rsidRDefault="000E03B1">
      <w:r>
        <w:t>Additionally, referring to the principles of implementation science noted above, it is possible to imagine process improvement components of an intervention as mediating the effect of a discrete intervention. For example, the degree to which the use of a diversion device is effective for reducing blood culture contamination rates may depend on the level of intensity of the staff training; a higher level of training increasing the effectiveness of the use of the diversion device while little to minimal training decreasing the effectiveness of the use of the device.</w:t>
      </w:r>
    </w:p>
    <w:p w14:paraId="7A950D09" w14:textId="77777777" w:rsidR="000E03B1" w:rsidRDefault="000E03B1">
      <w:r>
        <w:t>In both the above situations, particular statistical approaches would need to be used to model the effect of the intervention. Typical bivariate tests (e.g., t-tests, chi square tests) would not be appropriate. Rather, more sophisticated statistical modeling procedure would be required. Consultation with a statistical consultant is strongly recommended.</w:t>
      </w:r>
    </w:p>
    <w:p w14:paraId="4321FC85" w14:textId="77777777" w:rsidR="000E03B1" w:rsidRDefault="000E03B1" w:rsidP="00403204">
      <w:pPr>
        <w:pStyle w:val="Heading1"/>
      </w:pPr>
      <w:r>
        <w:t>Five General Types of Statistical Models</w:t>
      </w:r>
    </w:p>
    <w:p w14:paraId="09E143AD" w14:textId="77777777" w:rsidR="000E03B1" w:rsidRDefault="000E03B1">
      <w:r>
        <w:t>Assuming that the choice is made to adjust for additional covariates, the type of model will vary depending on the way the outcome is measured: dichotomous (e.g., mortality), continuous (time to treatment), count (e.g., number of inappropriate lab test orders), ordinal or polytomous (multiple categorical outcome types), or time to event (time to death). While consultation with a methodologist/statistician is crucial, it is useful for the primary investigator to have a basic understanding of commonly used statistical models. Some of the more commonly used multivariable models are described below.</w:t>
      </w:r>
    </w:p>
    <w:tbl>
      <w:tblPr>
        <w:tblStyle w:val="TableGrid"/>
        <w:tblW w:w="0" w:type="auto"/>
        <w:tblLook w:val="04A0" w:firstRow="1" w:lastRow="0" w:firstColumn="1" w:lastColumn="0" w:noHBand="0" w:noVBand="1"/>
      </w:tblPr>
      <w:tblGrid>
        <w:gridCol w:w="3116"/>
        <w:gridCol w:w="3117"/>
        <w:gridCol w:w="3117"/>
      </w:tblGrid>
      <w:tr w:rsidR="000E03B1" w14:paraId="00ED062E" w14:textId="77777777" w:rsidTr="00061F39">
        <w:tc>
          <w:tcPr>
            <w:tcW w:w="3116" w:type="dxa"/>
          </w:tcPr>
          <w:p w14:paraId="21EDF0A8" w14:textId="77777777" w:rsidR="000E03B1" w:rsidRDefault="000E03B1">
            <w:r>
              <w:t>Model</w:t>
            </w:r>
          </w:p>
        </w:tc>
        <w:tc>
          <w:tcPr>
            <w:tcW w:w="3117" w:type="dxa"/>
          </w:tcPr>
          <w:p w14:paraId="40362856" w14:textId="77777777" w:rsidR="000E03B1" w:rsidRDefault="000E03B1">
            <w:r>
              <w:t>When to Use</w:t>
            </w:r>
          </w:p>
        </w:tc>
        <w:tc>
          <w:tcPr>
            <w:tcW w:w="3117" w:type="dxa"/>
          </w:tcPr>
          <w:p w14:paraId="78B633C5" w14:textId="77777777" w:rsidR="000E03B1" w:rsidRDefault="000E03B1">
            <w:r>
              <w:t>Considerations</w:t>
            </w:r>
          </w:p>
        </w:tc>
      </w:tr>
      <w:tr w:rsidR="000E03B1" w14:paraId="2F38A409" w14:textId="77777777" w:rsidTr="00061F39">
        <w:tc>
          <w:tcPr>
            <w:tcW w:w="3116" w:type="dxa"/>
          </w:tcPr>
          <w:p w14:paraId="2012BEB2" w14:textId="77777777" w:rsidR="000E03B1" w:rsidRDefault="000E03B1">
            <w:r>
              <w:t>Multiple Linear Regression</w:t>
            </w:r>
          </w:p>
        </w:tc>
        <w:tc>
          <w:tcPr>
            <w:tcW w:w="3117" w:type="dxa"/>
          </w:tcPr>
          <w:p w14:paraId="0A2A7E0C" w14:textId="77777777" w:rsidR="000E03B1" w:rsidRDefault="000E03B1">
            <w:r>
              <w:t>Continuous outcome variable</w:t>
            </w:r>
          </w:p>
          <w:p w14:paraId="1B324700" w14:textId="77777777" w:rsidR="000E03B1" w:rsidRDefault="000E03B1">
            <w:r>
              <w:t>Outcome variable is normally distributed or can be transformed to be reasonably normal.</w:t>
            </w:r>
          </w:p>
          <w:p w14:paraId="72DA8268" w14:textId="77777777" w:rsidR="000E03B1" w:rsidRDefault="000E03B1">
            <w:r>
              <w:t>No mediators.</w:t>
            </w:r>
          </w:p>
        </w:tc>
        <w:tc>
          <w:tcPr>
            <w:tcW w:w="3117" w:type="dxa"/>
          </w:tcPr>
          <w:p w14:paraId="43C9C934" w14:textId="77777777" w:rsidR="000E03B1" w:rsidRDefault="000E03B1">
            <w:r>
              <w:t>Patient outcomes should be independent. If there is a planned analysis of differences by hospital unit (ICU, ED, general wards, etc.) patient outcomes are nested within units and so a hierarchical model would be more appropriate (see below).</w:t>
            </w:r>
          </w:p>
        </w:tc>
      </w:tr>
      <w:tr w:rsidR="000E03B1" w14:paraId="0B348E3D" w14:textId="77777777" w:rsidTr="00061F39">
        <w:tc>
          <w:tcPr>
            <w:tcW w:w="3116" w:type="dxa"/>
          </w:tcPr>
          <w:p w14:paraId="2AF9C670" w14:textId="77777777" w:rsidR="000E03B1" w:rsidRDefault="000E03B1">
            <w:r>
              <w:lastRenderedPageBreak/>
              <w:t>Logistic Regression</w:t>
            </w:r>
          </w:p>
        </w:tc>
        <w:tc>
          <w:tcPr>
            <w:tcW w:w="3117" w:type="dxa"/>
          </w:tcPr>
          <w:p w14:paraId="4B3E7002" w14:textId="77777777" w:rsidR="000E03B1" w:rsidRDefault="000E03B1">
            <w:r>
              <w:t>Dichotomous outcome (example: mortality)</w:t>
            </w:r>
          </w:p>
        </w:tc>
        <w:tc>
          <w:tcPr>
            <w:tcW w:w="3117" w:type="dxa"/>
          </w:tcPr>
          <w:p w14:paraId="355BD4D8" w14:textId="77777777" w:rsidR="000E03B1" w:rsidRDefault="000E03B1">
            <w:r>
              <w:t>Patient outcomes should be independent.</w:t>
            </w:r>
          </w:p>
          <w:p w14:paraId="1F012D53" w14:textId="77777777" w:rsidR="000E03B1" w:rsidRDefault="000E03B1">
            <w:r>
              <w:t>Odds ratios are most appropriate for events (e.g., death) that occur in &lt;10% of the sample. For dichotomous outcomes that occur more frequently, risk ratios are less likely to overestimate the effect [</w:t>
            </w:r>
            <w:commentRangeStart w:id="40"/>
            <w:r>
              <w:t>cite</w:t>
            </w:r>
            <w:commentRangeEnd w:id="40"/>
            <w:r>
              <w:rPr>
                <w:rStyle w:val="CommentReference"/>
                <w:sz w:val="22"/>
                <w:szCs w:val="22"/>
              </w:rPr>
              <w:commentReference w:id="40"/>
            </w:r>
            <w:r>
              <w:t>]. Care should be taken to avoid analyses that result in empty cells.</w:t>
            </w:r>
          </w:p>
        </w:tc>
      </w:tr>
      <w:tr w:rsidR="000E03B1" w14:paraId="769888DA" w14:textId="77777777" w:rsidTr="00061F39">
        <w:tc>
          <w:tcPr>
            <w:tcW w:w="3116" w:type="dxa"/>
          </w:tcPr>
          <w:p w14:paraId="7A417FC4" w14:textId="77777777" w:rsidR="000E03B1" w:rsidRDefault="000E03B1">
            <w:r>
              <w:t>Ordinal or multinomial logistic regression</w:t>
            </w:r>
          </w:p>
        </w:tc>
        <w:tc>
          <w:tcPr>
            <w:tcW w:w="3117" w:type="dxa"/>
          </w:tcPr>
          <w:p w14:paraId="3DCF7897" w14:textId="77777777" w:rsidR="000E03B1" w:rsidRDefault="000E03B1">
            <w:r>
              <w:t>Categorical outcomes with more than two possibilities (example: Positive, negative, indeterminate test results)</w:t>
            </w:r>
          </w:p>
        </w:tc>
        <w:tc>
          <w:tcPr>
            <w:tcW w:w="3117" w:type="dxa"/>
          </w:tcPr>
          <w:p w14:paraId="5B521265" w14:textId="77777777" w:rsidR="000E03B1" w:rsidRDefault="000E03B1">
            <w:r>
              <w:t>Same as with logistic regression.</w:t>
            </w:r>
          </w:p>
        </w:tc>
      </w:tr>
      <w:tr w:rsidR="000E03B1" w14:paraId="61BB5A0F" w14:textId="77777777" w:rsidTr="00061F39">
        <w:tc>
          <w:tcPr>
            <w:tcW w:w="3116" w:type="dxa"/>
          </w:tcPr>
          <w:p w14:paraId="54C6FD11" w14:textId="77777777" w:rsidR="000E03B1" w:rsidRDefault="000E03B1">
            <w:r>
              <w:t>Cox Proportional Hazard Models</w:t>
            </w:r>
          </w:p>
        </w:tc>
        <w:tc>
          <w:tcPr>
            <w:tcW w:w="3117" w:type="dxa"/>
          </w:tcPr>
          <w:p w14:paraId="70E76857" w14:textId="77777777" w:rsidR="000E03B1" w:rsidRDefault="000E03B1">
            <w:r>
              <w:t xml:space="preserve">Outcome is measured in time units (e.g., hours or days). </w:t>
            </w:r>
          </w:p>
        </w:tc>
        <w:tc>
          <w:tcPr>
            <w:tcW w:w="3117" w:type="dxa"/>
          </w:tcPr>
          <w:p w14:paraId="789AB269" w14:textId="77777777" w:rsidR="000E03B1" w:rsidRDefault="000E03B1">
            <w:r>
              <w:t>Most appropriate when where data are right censored (i.e., not all patients experience the event within the study timeframe.) When time data is complete within the timeframe, some form of general linear models may be appropriate depending on the distribution of the outcome variable.</w:t>
            </w:r>
          </w:p>
        </w:tc>
      </w:tr>
      <w:tr w:rsidR="000E03B1" w14:paraId="083EE0AA" w14:textId="77777777" w:rsidTr="00061F39">
        <w:tc>
          <w:tcPr>
            <w:tcW w:w="3116" w:type="dxa"/>
          </w:tcPr>
          <w:p w14:paraId="6B7ACB49" w14:textId="77777777" w:rsidR="000E03B1" w:rsidRDefault="000E03B1">
            <w:r>
              <w:t>Mixed or Hierarchical Models</w:t>
            </w:r>
          </w:p>
        </w:tc>
        <w:tc>
          <w:tcPr>
            <w:tcW w:w="3117" w:type="dxa"/>
          </w:tcPr>
          <w:p w14:paraId="60D5A78E" w14:textId="77777777" w:rsidR="000E03B1" w:rsidRDefault="000E03B1">
            <w:r>
              <w:t>Patient outcomes are nested within larger units (e.g., different hospital units, different hospitals, etc.)</w:t>
            </w:r>
          </w:p>
        </w:tc>
        <w:tc>
          <w:tcPr>
            <w:tcW w:w="3117" w:type="dxa"/>
          </w:tcPr>
          <w:p w14:paraId="7F89CC1F" w14:textId="77777777" w:rsidR="000E03B1" w:rsidRDefault="000E03B1">
            <w:r>
              <w:t>These models are able to provide an estimate of effect at each level (e.g., unit and individual).</w:t>
            </w:r>
          </w:p>
          <w:p w14:paraId="6468C3C9" w14:textId="77777777" w:rsidR="000E03B1" w:rsidRDefault="000E03B1">
            <w:r>
              <w:t>Models are also useful when data on individuals is incomplete.</w:t>
            </w:r>
          </w:p>
          <w:p w14:paraId="222BE00C" w14:textId="77777777" w:rsidR="000E03B1" w:rsidRDefault="000E03B1">
            <w:r>
              <w:t>Require a higher level of statistical sophistication but allow for a higher degree of modeling flexibility.</w:t>
            </w:r>
          </w:p>
        </w:tc>
      </w:tr>
    </w:tbl>
    <w:p w14:paraId="6F3D84FD" w14:textId="77777777" w:rsidR="000E03B1" w:rsidRDefault="000E03B1"/>
    <w:p w14:paraId="2623D6B2" w14:textId="77777777" w:rsidR="000E03B1" w:rsidRDefault="000E03B1" w:rsidP="00403204">
      <w:pPr>
        <w:pStyle w:val="Heading1"/>
      </w:pPr>
      <w:r>
        <w:t>Involve a Methodologist and Statistician at the Outset</w:t>
      </w:r>
    </w:p>
    <w:p w14:paraId="47F03D03" w14:textId="77777777" w:rsidR="000E03B1" w:rsidRPr="00302D12" w:rsidRDefault="000E03B1" w:rsidP="00302D12">
      <w:r>
        <w:t>As noted above, it is vital to involve a competent methodologist and/or statistician as part of the study team. These individuals should be involved in all aspects of the outcome study: planning, execution, data collection, data analysis and write-up. A common mistake is to bring in a statistician or methodologist only at the end of a project. When this occurs, threats to study validity are already in place and even the most talented statistician cannot make up for flaws in study design or execution.</w:t>
      </w:r>
    </w:p>
    <w:p w14:paraId="1BA9A8BB" w14:textId="66616777" w:rsidR="0040792A" w:rsidRPr="00075B5A" w:rsidRDefault="0040792A" w:rsidP="000E03B1">
      <w:pPr>
        <w:rPr>
          <w:rFonts w:ascii="Times New Roman" w:hAnsi="Times New Roman" w:cs="Times New Roman"/>
          <w:b/>
          <w:bCs/>
          <w:color w:val="FF0000"/>
          <w:sz w:val="24"/>
          <w:szCs w:val="24"/>
        </w:rPr>
      </w:pPr>
    </w:p>
    <w:sectPr w:rsidR="0040792A" w:rsidRPr="00075B5A" w:rsidSect="006563F6">
      <w:footerReference w:type="default" r:id="rId26"/>
      <w:pgSz w:w="12240" w:h="15840"/>
      <w:pgMar w:top="1440" w:right="1440" w:bottom="1440" w:left="1440" w:header="720" w:footer="720" w:gutter="0"/>
      <w:lnNumType w:countBy="1" w:restart="continuou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berts, Amity" w:date="2026-09-29T15:56:00Z" w:initials="AR">
    <w:p w14:paraId="4E691675" w14:textId="77777777" w:rsidR="00757492" w:rsidRDefault="00757492" w:rsidP="00757492">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2" w:author="Guest User" w:date="2026-05-22T15:48:00Z" w:initials="GU">
    <w:p w14:paraId="5FD11A00" w14:textId="46529832" w:rsidR="00792C76" w:rsidRDefault="000111F7">
      <w:pPr>
        <w:pStyle w:val="CommentText"/>
      </w:pPr>
      <w:r>
        <w:rPr>
          <w:rStyle w:val="CommentReference"/>
        </w:rPr>
        <w:annotationRef/>
      </w:r>
      <w:r w:rsidRPr="50B7DCB7">
        <w:t>TAK: Ogrinc G, Davies L, Goodman D</w:t>
      </w:r>
      <w:r w:rsidRPr="5DEC4F96">
        <w:rPr>
          <w:i/>
          <w:iCs/>
        </w:rPr>
        <w:t>, et al</w:t>
      </w:r>
      <w:r w:rsidRPr="35FC7961">
        <w:t>SQUIRE 2.0 (</w:t>
      </w:r>
      <w:r w:rsidRPr="26257929">
        <w:rPr>
          <w:i/>
          <w:iCs/>
        </w:rPr>
        <w:t>Standards for QUality Improvement Reporting Excellence)</w:t>
      </w:r>
      <w:r w:rsidRPr="16A4A2DB">
        <w:t>: revised publication guidelines from a detailed consensus process</w:t>
      </w:r>
      <w:r w:rsidRPr="02162694">
        <w:rPr>
          <w:i/>
          <w:iCs/>
        </w:rPr>
        <w:t>BMJ Quality &amp; Safety </w:t>
      </w:r>
      <w:r w:rsidRPr="76E39537">
        <w:t>2016;</w:t>
      </w:r>
      <w:r w:rsidRPr="4084B4B7">
        <w:rPr>
          <w:b/>
          <w:bCs/>
        </w:rPr>
        <w:t>25:</w:t>
      </w:r>
      <w:r w:rsidRPr="2D4CF9C4">
        <w:t>986-992.</w:t>
      </w:r>
    </w:p>
  </w:comment>
  <w:comment w:id="1" w:author="Roberts, Amity" w:date="2026-09-29T15:59:00Z" w:initials="AR">
    <w:p w14:paraId="6CF3D861" w14:textId="77777777" w:rsidR="00757492" w:rsidRDefault="00757492" w:rsidP="00757492">
      <w:pPr>
        <w:pStyle w:val="CommentText"/>
      </w:pPr>
      <w:r>
        <w:rPr>
          <w:rStyle w:val="CommentReference"/>
        </w:rPr>
        <w:annotationRef/>
      </w:r>
      <w:r>
        <w:rPr>
          <w:color w:val="1B1B1B"/>
          <w:highlight w:val="yellow"/>
        </w:rPr>
        <w:t>Reference: Ogrinc G, Mooney SE, Estrada C, Foster T, Goldmann D, Hall LW, Huizinga MM, Liu SK, Mills P, Neily J, Nelson W, Pronovost PJ, Provost L, Rubenstein LV, Speroff T, Splaine M, Thomson R, Tomolo AM, Watts B. The SQUIRE (Standards for QUality Improvement Reporting Excellence) guidelines for quality improvement reporting: explanation and elaboration. Qual Saf Health Care. 2008 Oct;17 Suppl 1(Suppl_1):i13-32. doi: 10.1136/qshc.2008.029058. PMID: 18836062; PMCID: PMC2602740.</w:t>
      </w:r>
      <w:r>
        <w:rPr>
          <w:highlight w:val="yellow"/>
        </w:rPr>
        <w:t xml:space="preserve"> </w:t>
      </w:r>
    </w:p>
  </w:comment>
  <w:comment w:id="3" w:author="Roberts, Amity" w:date="2026-09-29T15:59:00Z" w:initials="AR">
    <w:p w14:paraId="64353F34" w14:textId="77777777" w:rsidR="00757492" w:rsidRDefault="00757492" w:rsidP="00757492">
      <w:pPr>
        <w:pStyle w:val="CommentText"/>
      </w:pPr>
      <w:r>
        <w:rPr>
          <w:rStyle w:val="CommentReference"/>
        </w:rPr>
        <w:annotationRef/>
      </w:r>
      <w:r>
        <w:rPr>
          <w:highlight w:val="yellow"/>
        </w:rPr>
        <w:t xml:space="preserve">Reference: </w:t>
      </w:r>
      <w:r>
        <w:rPr>
          <w:color w:val="212121"/>
          <w:highlight w:val="yellow"/>
        </w:rPr>
        <w:t>Ogrinc G, Davies L, Goodman D, Batalden P, Davidoff F, Stevens D. SQUIRE 2.0 (Standards for QUality Improvement Reporting Excellence): revised publication guidelines from a detailed consensus process. BMJ Qual Saf. 2016 Dec;25(12):986-992. doi: 10.1136/bmjqs-2015-004411. Epub 2015 Sep 14. PMID: 26369893; PMCID: PMC5256233.</w:t>
      </w:r>
      <w:r>
        <w:rPr>
          <w:highlight w:val="yellow"/>
        </w:rPr>
        <w:t xml:space="preserve"> </w:t>
      </w:r>
    </w:p>
  </w:comment>
  <w:comment w:id="4" w:author="Roberts, Amity" w:date="2026-09-29T16:06:00Z" w:initials="AR">
    <w:p w14:paraId="5D87DE61" w14:textId="77777777" w:rsidR="00757492" w:rsidRDefault="00757492" w:rsidP="00757492">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5" w:author="Roberts, Amity" w:date="2026-09-29T16:07:00Z" w:initials="AR">
    <w:p w14:paraId="4E74980D" w14:textId="77777777" w:rsidR="00127473" w:rsidRDefault="00127473" w:rsidP="00127473">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6" w:author="Roberts, Amity" w:date="2026-09-29T16:10:00Z" w:initials="AR">
    <w:p w14:paraId="7394E987" w14:textId="77777777" w:rsidR="00127473" w:rsidRDefault="00127473" w:rsidP="00127473">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8" w:author="klmshier@yahoo.com" w:date="2025-12-10T15:56:00Z" w:initials="kl">
    <w:p w14:paraId="42E99119" w14:textId="77777777" w:rsidR="001D2774" w:rsidRDefault="00174DC2" w:rsidP="001D2774">
      <w:pPr>
        <w:pStyle w:val="CommentText"/>
      </w:pPr>
      <w:r>
        <w:rPr>
          <w:rStyle w:val="CommentReference"/>
        </w:rPr>
        <w:annotationRef/>
      </w:r>
      <w:r w:rsidR="001D2774">
        <w:t xml:space="preserve">REF: </w:t>
      </w:r>
      <w:r w:rsidR="001D2774">
        <w:rPr>
          <w:color w:val="000000"/>
          <w:highlight w:val="white"/>
        </w:rPr>
        <w:t>Greg Ogrinc, Louise Davies, Daisy Goodman, Paul Batalden, Frank Davidoff3, David Stevens </w:t>
      </w:r>
      <w:hyperlink r:id="rId1" w:history="1">
        <w:r w:rsidR="001D2774" w:rsidRPr="00A5383D">
          <w:rPr>
            <w:rStyle w:val="Hyperlink"/>
          </w:rPr>
          <w:t>SQuIRE 2.0 (Standards for QUality Improvement Reporting Excellence): revised publication guidelines from a detailed consensus process</w:t>
        </w:r>
      </w:hyperlink>
      <w:r w:rsidR="001D2774">
        <w:t xml:space="preserve"> </w:t>
      </w:r>
    </w:p>
  </w:comment>
  <w:comment w:id="7" w:author="Guest User" w:date="2026-05-11T12:02:00Z" w:initials="GU">
    <w:p w14:paraId="03C04D9D" w14:textId="158301A7" w:rsidR="00792C76" w:rsidRDefault="000111F7">
      <w:pPr>
        <w:pStyle w:val="CommentText"/>
      </w:pPr>
      <w:r>
        <w:rPr>
          <w:rStyle w:val="CommentReference"/>
        </w:rPr>
        <w:annotationRef/>
      </w:r>
      <w:r w:rsidRPr="086A14D3">
        <w:t>Ogrinc G, Mooney SE, Estrada C, Foster T, Goldmann D, Hall LW, Huizinga MM, Liu SK, Mills P, Neily J, Nelson W, Pronovost PJ, Provost L, Rubenstein LV, Speroff T, Splaine M, Thomson R, Tomolo AM, Watts B. The SQUIRE (Standards for QUality Improvement Reporting Excellence) guidelines for quality improvement reporting: explanation and elaboration. Qual Saf Health Care. 2008 Oct;17 Suppl 1(Suppl_1):i13-32. doi: 10.1136/qshc.2008.029058. PMID: 18836062; PMCID: PMC2602740.</w:t>
      </w:r>
    </w:p>
  </w:comment>
  <w:comment w:id="9" w:author="Roberts, Amity" w:date="2026-09-29T16:10:00Z" w:initials="AR">
    <w:p w14:paraId="3C7183F2" w14:textId="77777777" w:rsidR="00127473" w:rsidRDefault="00127473" w:rsidP="00127473">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10" w:author="Guest User" w:date="2026-05-11T12:48:00Z" w:initials="GU">
    <w:p w14:paraId="4F463589" w14:textId="56F31976" w:rsidR="00792C76" w:rsidRDefault="000111F7">
      <w:pPr>
        <w:pStyle w:val="CommentText"/>
      </w:pPr>
      <w:r>
        <w:rPr>
          <w:rStyle w:val="CommentReference"/>
        </w:rPr>
        <w:annotationRef/>
      </w:r>
      <w:r w:rsidRPr="4E6739F9">
        <w:t>Stone KP, Rutman L, Calhoun AW, Reid J, Maa T, Bajaj K, Auerbach MA, Cheng A, Davies L, Deutsch E, Harwayne-Gidansky I, Kessler DO, Ogrinc G, Patterson M, Thomas A, Doughty C; And for the International Network in Simulation-Based Innovation, Research and Education (INSPIRE) SQUIRE-SIM Reporting Guidelines Investigators. SQUIRE-SIM (Standards for Quality Improvement Reporting Excellence for SIMulation): Publication Guidelines for Simulation-Based Quality Improvement Projects. Simul Healthc. 2024 Aug 16. doi: 10.1097/SIH.0000000000000819. Epub ahead of print. PMID: 39162794.</w:t>
      </w:r>
    </w:p>
  </w:comment>
  <w:comment w:id="12" w:author="Guest User" w:date="2026-05-12T14:27:00Z" w:initials="GU">
    <w:p w14:paraId="08A2F56D" w14:textId="6CFA3C18" w:rsidR="00792C76" w:rsidRDefault="000111F7">
      <w:pPr>
        <w:pStyle w:val="CommentText"/>
      </w:pPr>
      <w:r>
        <w:rPr>
          <w:rStyle w:val="CommentReference"/>
        </w:rPr>
        <w:annotationRef/>
      </w:r>
      <w:r w:rsidRPr="6763B927">
        <w:t>ZZ: could the limitations be partially considered in the statistical analysis in the later section?</w:t>
      </w:r>
    </w:p>
  </w:comment>
  <w:comment w:id="11" w:author="Guest User" w:date="2026-05-12T15:31:00Z" w:initials="GU">
    <w:p w14:paraId="0379ECF2" w14:textId="703B2223" w:rsidR="00792C76" w:rsidRDefault="000111F7">
      <w:pPr>
        <w:pStyle w:val="CommentText"/>
      </w:pPr>
      <w:r>
        <w:rPr>
          <w:rStyle w:val="CommentReference"/>
        </w:rPr>
        <w:annotationRef/>
      </w:r>
      <w:r w:rsidRPr="27CE5A30">
        <w:t>ZZ: the later section IX also focused on limitations. please review both for consistency and redundancy.</w:t>
      </w:r>
      <w:r w:rsidRPr="29F1A59B">
        <w:rPr>
          <w:b/>
          <w:bCs/>
        </w:rPr>
        <w:t xml:space="preserve"> </w:t>
      </w:r>
    </w:p>
  </w:comment>
  <w:comment w:id="13" w:author="Guest User" w:date="2026-04-30T15:26:00Z" w:initials="GU">
    <w:p w14:paraId="791907DA" w14:textId="1DEA0CA2" w:rsidR="00792C76" w:rsidRDefault="000111F7">
      <w:pPr>
        <w:pStyle w:val="CommentText"/>
      </w:pPr>
      <w:r>
        <w:rPr>
          <w:rStyle w:val="CommentReference"/>
        </w:rPr>
        <w:annotationRef/>
      </w:r>
      <w:r w:rsidRPr="6E91B6CE">
        <w:t>1=Bossuyt PM, et al. STARD 2015: An Updated List of Essential Items for Reporting Diagnostic Accuracy Studies. BMJ. 2015;351:h5527.</w:t>
      </w:r>
    </w:p>
    <w:p w14:paraId="0041067C" w14:textId="6AB39C9E" w:rsidR="00792C76" w:rsidRDefault="00792C76">
      <w:pPr>
        <w:pStyle w:val="CommentText"/>
      </w:pPr>
    </w:p>
    <w:p w14:paraId="4858A2E1" w14:textId="035CB845" w:rsidR="00792C76" w:rsidRDefault="000111F7">
      <w:pPr>
        <w:pStyle w:val="CommentText"/>
      </w:pPr>
      <w:r w:rsidRPr="4559595D">
        <w:t>https://pmc.ncbi.nlm.nih.gov/articles/PMC5128957/</w:t>
      </w:r>
    </w:p>
  </w:comment>
  <w:comment w:id="14" w:author="Guest User" w:date="2026-04-30T15:28:00Z" w:initials="GU">
    <w:p w14:paraId="532052EC" w14:textId="63870747" w:rsidR="00792C76" w:rsidRDefault="000111F7">
      <w:pPr>
        <w:pStyle w:val="CommentText"/>
      </w:pPr>
      <w:r>
        <w:rPr>
          <w:rStyle w:val="CommentReference"/>
        </w:rPr>
        <w:annotationRef/>
      </w:r>
      <w:r w:rsidRPr="3A9D3D4A">
        <w:t>2=Grimes DA, Schulz KF. An Overview of Clinical Research: The Lay of the Land. Lancet. 2002;359(9300):57–61.</w:t>
      </w:r>
    </w:p>
  </w:comment>
  <w:comment w:id="15" w:author="Guest User" w:date="2026-04-30T15:35:00Z" w:initials="GU">
    <w:p w14:paraId="790B9731" w14:textId="79A9EFCA" w:rsidR="00792C76" w:rsidRDefault="000111F7">
      <w:pPr>
        <w:pStyle w:val="CommentText"/>
      </w:pPr>
      <w:r>
        <w:rPr>
          <w:rStyle w:val="CommentReference"/>
        </w:rPr>
        <w:annotationRef/>
      </w:r>
      <w:r w:rsidRPr="1910E098">
        <w:t>3=Friedman LM, Furberg CD, DeMets DL.</w:t>
      </w:r>
    </w:p>
    <w:p w14:paraId="484D6B41" w14:textId="06C09038" w:rsidR="00792C76" w:rsidRDefault="000111F7">
      <w:pPr>
        <w:pStyle w:val="CommentText"/>
      </w:pPr>
      <w:r w:rsidRPr="06CF5045">
        <w:rPr>
          <w:i/>
          <w:iCs/>
        </w:rPr>
        <w:t>Fundamentals of Clinical Trials.</w:t>
      </w:r>
      <w:r w:rsidRPr="4FE7062C">
        <w:t xml:space="preserve"> 5th ed. Springer; 2015.</w:t>
      </w:r>
    </w:p>
  </w:comment>
  <w:comment w:id="16" w:author="Kileen Shier" w:date="2026-10-09T14:39:00Z" w:initials="KS">
    <w:p w14:paraId="3A9E4727" w14:textId="77777777" w:rsidR="00A46102" w:rsidRDefault="00A46102" w:rsidP="00A46102">
      <w:pPr>
        <w:pStyle w:val="CommentText"/>
      </w:pPr>
      <w:r>
        <w:rPr>
          <w:rStyle w:val="CommentReference"/>
        </w:rPr>
        <w:annotationRef/>
      </w:r>
      <w:hyperlink r:id="rId2" w:history="1">
        <w:r w:rsidRPr="00EC715D">
          <w:rPr>
            <w:rStyle w:val="Hyperlink"/>
          </w:rPr>
          <w:t>https://pubmed.ncbi.nlm.nih.gov/37179006/</w:t>
        </w:r>
      </w:hyperlink>
    </w:p>
    <w:p w14:paraId="651C7789" w14:textId="77777777" w:rsidR="00A46102" w:rsidRDefault="00A46102" w:rsidP="00A46102">
      <w:pPr>
        <w:pStyle w:val="CommentText"/>
      </w:pPr>
    </w:p>
    <w:p w14:paraId="1022B0D8" w14:textId="77777777" w:rsidR="00A46102" w:rsidRDefault="00A46102" w:rsidP="00A46102">
      <w:pPr>
        <w:pStyle w:val="CommentText"/>
      </w:pPr>
      <w:hyperlink r:id="rId3" w:history="1">
        <w:r w:rsidRPr="00EC715D">
          <w:rPr>
            <w:rStyle w:val="Hyperlink"/>
          </w:rPr>
          <w:t>https://academic.oup.com/cid/article-abstract/78/2/259/7280930</w:t>
        </w:r>
      </w:hyperlink>
    </w:p>
  </w:comment>
  <w:comment w:id="17" w:author="Guest User" w:date="2026-04-30T15:14:00Z" w:initials="GU">
    <w:p w14:paraId="2FD7E6C9" w14:textId="1B874360" w:rsidR="00792C76" w:rsidRDefault="000111F7">
      <w:pPr>
        <w:pStyle w:val="CommentText"/>
      </w:pPr>
      <w:r>
        <w:rPr>
          <w:rStyle w:val="CommentReference"/>
        </w:rPr>
        <w:annotationRef/>
      </w:r>
      <w:r w:rsidRPr="2615E8C3">
        <w:t>4=The Use and Interpretation of Quasi-Experimental Studies in Infectious Diseases.</w:t>
      </w:r>
    </w:p>
    <w:p w14:paraId="226D04E8" w14:textId="334382C5" w:rsidR="00792C76" w:rsidRDefault="000111F7">
      <w:pPr>
        <w:pStyle w:val="CommentText"/>
      </w:pPr>
      <w:r w:rsidRPr="2C9126FB">
        <w:t xml:space="preserve"> Clin Infect Dis. 2004;38(11):1586–1591.</w:t>
      </w:r>
    </w:p>
  </w:comment>
  <w:comment w:id="18" w:author="Guest User" w:date="2026-04-30T15:15:00Z" w:initials="GU">
    <w:p w14:paraId="541B7F7D" w14:textId="631EBD8E" w:rsidR="00792C76" w:rsidRDefault="000111F7">
      <w:pPr>
        <w:pStyle w:val="CommentText"/>
      </w:pPr>
      <w:r>
        <w:rPr>
          <w:rStyle w:val="CommentReference"/>
        </w:rPr>
        <w:annotationRef/>
      </w:r>
      <w:r w:rsidRPr="5FF345ED">
        <w:t>6=Bernal JL, Cummins S, Gasparrini A.</w:t>
      </w:r>
    </w:p>
    <w:p w14:paraId="66F7130F" w14:textId="3995F210" w:rsidR="00792C76" w:rsidRDefault="000111F7">
      <w:pPr>
        <w:pStyle w:val="CommentText"/>
      </w:pPr>
      <w:r w:rsidRPr="1FBB587C">
        <w:rPr>
          <w:i/>
          <w:iCs/>
        </w:rPr>
        <w:t>Interrupted Time Series Regression for the Evaluation of Public Health Interventions.</w:t>
      </w:r>
    </w:p>
    <w:p w14:paraId="123CEE93" w14:textId="75B82A03" w:rsidR="00792C76" w:rsidRDefault="000111F7">
      <w:pPr>
        <w:pStyle w:val="CommentText"/>
      </w:pPr>
      <w:r w:rsidRPr="5BC7CFAD">
        <w:t xml:space="preserve"> Int J Epidemiol. 2017;46(1):348–355.</w:t>
      </w:r>
    </w:p>
  </w:comment>
  <w:comment w:id="19" w:author="Guest User" w:date="2026-04-30T15:16:00Z" w:initials="GU">
    <w:p w14:paraId="2135C3C6" w14:textId="1B0ED88A" w:rsidR="00792C76" w:rsidRDefault="000111F7">
      <w:pPr>
        <w:pStyle w:val="CommentText"/>
      </w:pPr>
      <w:r>
        <w:rPr>
          <w:rStyle w:val="CommentReference"/>
        </w:rPr>
        <w:annotationRef/>
      </w:r>
      <w:r w:rsidRPr="1ECAD519">
        <w:t>8=Shadish WR, Cook TD, Campbell DT.</w:t>
      </w:r>
    </w:p>
    <w:p w14:paraId="75B4F61F" w14:textId="79083EAD" w:rsidR="00792C76" w:rsidRDefault="000111F7">
      <w:pPr>
        <w:pStyle w:val="CommentText"/>
      </w:pPr>
      <w:r w:rsidRPr="39C4BF1B">
        <w:rPr>
          <w:i/>
          <w:iCs/>
        </w:rPr>
        <w:t>Experimental and Quasi-Experimental Designs for Generalized Causal Inference.</w:t>
      </w:r>
    </w:p>
    <w:p w14:paraId="27ACE5BA" w14:textId="7A026427" w:rsidR="00792C76" w:rsidRDefault="000111F7">
      <w:pPr>
        <w:pStyle w:val="CommentText"/>
      </w:pPr>
      <w:r w:rsidRPr="35EB51C3">
        <w:t xml:space="preserve"> Houghton Mifflin; 2002.</w:t>
      </w:r>
    </w:p>
  </w:comment>
  <w:comment w:id="20" w:author="Guest User" w:date="2026-04-30T17:18:00Z" w:initials="GU">
    <w:p w14:paraId="40E5B0EF" w14:textId="4F1731AD" w:rsidR="00792C76" w:rsidRDefault="000111F7">
      <w:pPr>
        <w:pStyle w:val="CommentText"/>
      </w:pPr>
      <w:r>
        <w:rPr>
          <w:rStyle w:val="CommentReference"/>
        </w:rPr>
        <w:annotationRef/>
      </w:r>
      <w:r w:rsidRPr="7CAAD9AD">
        <w:t>9= Grimes D, Schulz K</w:t>
      </w:r>
    </w:p>
    <w:p w14:paraId="661C7D1E" w14:textId="54EEC534" w:rsidR="00792C76" w:rsidRDefault="000111F7">
      <w:pPr>
        <w:pStyle w:val="CommentText"/>
      </w:pPr>
      <w:r w:rsidRPr="2D7BC778">
        <w:rPr>
          <w:b/>
          <w:bCs/>
        </w:rPr>
        <w:t>Cohort studies: marching towards outcomes</w:t>
      </w:r>
    </w:p>
    <w:p w14:paraId="1695101B" w14:textId="6C362632" w:rsidR="00792C76" w:rsidRDefault="000111F7">
      <w:pPr>
        <w:pStyle w:val="CommentText"/>
      </w:pPr>
      <w:hyperlink r:id="rId4">
        <w:r w:rsidRPr="0926D757">
          <w:rPr>
            <w:rStyle w:val="Hyperlink"/>
          </w:rPr>
          <w:t>The Lancet, 359, 341-345</w:t>
        </w:r>
      </w:hyperlink>
    </w:p>
    <w:p w14:paraId="2C923086" w14:textId="12275874" w:rsidR="00792C76" w:rsidRDefault="000111F7">
      <w:pPr>
        <w:pStyle w:val="CommentText"/>
      </w:pPr>
      <w:hyperlink r:id="rId5">
        <w:r w:rsidRPr="674ACE2C">
          <w:rPr>
            <w:rStyle w:val="Hyperlink"/>
          </w:rPr>
          <w:t>https://www.thelancet.com/journals/lancet/article/PIIS0140-6736(02)07500-1/fulltext</w:t>
        </w:r>
      </w:hyperlink>
    </w:p>
    <w:p w14:paraId="19F689D3" w14:textId="5E5CC910" w:rsidR="00792C76" w:rsidRDefault="00792C76">
      <w:pPr>
        <w:pStyle w:val="CommentText"/>
      </w:pPr>
    </w:p>
    <w:p w14:paraId="1E876CF4" w14:textId="31331894" w:rsidR="00792C76" w:rsidRDefault="00792C76">
      <w:pPr>
        <w:pStyle w:val="CommentText"/>
      </w:pPr>
    </w:p>
  </w:comment>
  <w:comment w:id="21" w:author="Guest User" w:date="2026-04-30T17:18:00Z" w:initials="GU">
    <w:p w14:paraId="64A67B99" w14:textId="4EB0F847" w:rsidR="00792C76" w:rsidRDefault="000111F7">
      <w:pPr>
        <w:pStyle w:val="CommentText"/>
      </w:pPr>
      <w:r>
        <w:rPr>
          <w:rStyle w:val="CommentReference"/>
        </w:rPr>
        <w:annotationRef/>
      </w:r>
      <w:r w:rsidRPr="22AD48E1">
        <w:rPr>
          <w:b/>
          <w:bCs/>
        </w:rPr>
        <w:t>10=Schulz KF, Grimes DA.</w:t>
      </w:r>
    </w:p>
    <w:p w14:paraId="249DBFF6" w14:textId="38BA29C8" w:rsidR="00792C76" w:rsidRDefault="000111F7">
      <w:pPr>
        <w:pStyle w:val="CommentText"/>
      </w:pPr>
      <w:r w:rsidRPr="10B565C5">
        <w:rPr>
          <w:i/>
          <w:iCs/>
        </w:rPr>
        <w:t>Case-Control Studies: Research in Reverse.</w:t>
      </w:r>
    </w:p>
    <w:p w14:paraId="6B716A02" w14:textId="1B2CAAB2" w:rsidR="00792C76" w:rsidRDefault="000111F7">
      <w:pPr>
        <w:pStyle w:val="CommentText"/>
      </w:pPr>
      <w:r w:rsidRPr="1F8C9E2E">
        <w:t xml:space="preserve"> Lancet. 2002;359(9304):431–434.</w:t>
      </w:r>
    </w:p>
  </w:comment>
  <w:comment w:id="22" w:author="Guest User" w:date="2026-05-04T07:05:00Z" w:initials="GU">
    <w:p w14:paraId="596DCCB1" w14:textId="0547DCE5" w:rsidR="00792C76" w:rsidRDefault="000111F7">
      <w:pPr>
        <w:pStyle w:val="CommentText"/>
      </w:pPr>
      <w:r>
        <w:rPr>
          <w:rStyle w:val="CommentReference"/>
        </w:rPr>
        <w:annotationRef/>
      </w:r>
      <w:r w:rsidRPr="04774B9F">
        <w:t>11=Xiaofeng Wang, Zhenshun Cheng,</w:t>
      </w:r>
    </w:p>
    <w:p w14:paraId="598782A9" w14:textId="13EBA32D" w:rsidR="00792C76" w:rsidRDefault="000111F7">
      <w:pPr>
        <w:pStyle w:val="CommentText"/>
      </w:pPr>
      <w:r w:rsidRPr="7B41E5E5">
        <w:t>Cross-Sectional Studies: Strengths, Weaknesses, and Recommendations, Chest, Volume 158, Issue 1, Supplement, 2020, Pages S65-S71,</w:t>
      </w:r>
    </w:p>
    <w:p w14:paraId="7641E164" w14:textId="75AE151F" w:rsidR="00792C76" w:rsidRDefault="000111F7">
      <w:pPr>
        <w:pStyle w:val="CommentText"/>
      </w:pPr>
      <w:r w:rsidRPr="24301177">
        <w:t>ISSN 0012-3692,</w:t>
      </w:r>
    </w:p>
    <w:p w14:paraId="611F863D" w14:textId="45DE8839" w:rsidR="00792C76" w:rsidRDefault="00792C76">
      <w:pPr>
        <w:pStyle w:val="CommentText"/>
      </w:pPr>
    </w:p>
    <w:p w14:paraId="773B5D54" w14:textId="6AFA8276" w:rsidR="00792C76" w:rsidRDefault="000111F7">
      <w:pPr>
        <w:pStyle w:val="CommentText"/>
      </w:pPr>
      <w:r w:rsidRPr="42BF6115">
        <w:t>https://www.sciencedirect.com/science/article/pii/S0012369220304621?via%3Dihub</w:t>
      </w:r>
    </w:p>
  </w:comment>
  <w:comment w:id="23" w:author="Kileen Shier" w:date="2026-01-27T12:17:00Z" w:initials="KS">
    <w:p w14:paraId="11833524" w14:textId="77777777" w:rsidR="00622523" w:rsidRDefault="00622523" w:rsidP="00622523">
      <w:pPr>
        <w:pStyle w:val="CommentText"/>
      </w:pPr>
      <w:r>
        <w:rPr>
          <w:rStyle w:val="CommentReference"/>
        </w:rPr>
        <w:annotationRef/>
      </w:r>
      <w:hyperlink r:id="rId6" w:history="1">
        <w:r w:rsidRPr="0070769D">
          <w:rPr>
            <w:rStyle w:val="Hyperlink"/>
          </w:rPr>
          <w:t>Beyond Accuracy: Methodological Advances for Assessing the Clinical Impact of Infectious Disease Di…</w:t>
        </w:r>
      </w:hyperlink>
      <w:r>
        <w:t xml:space="preserve"> </w:t>
      </w:r>
    </w:p>
  </w:comment>
  <w:comment w:id="24" w:author="Guest User" w:date="2026-05-04T07:01:00Z" w:initials="GU">
    <w:p w14:paraId="4AFC054E" w14:textId="4B1D08E4" w:rsidR="00792C76" w:rsidRDefault="000111F7">
      <w:pPr>
        <w:pStyle w:val="CommentText"/>
      </w:pPr>
      <w:r>
        <w:rPr>
          <w:rStyle w:val="CommentReference"/>
        </w:rPr>
        <w:annotationRef/>
      </w:r>
      <w:r w:rsidRPr="10CD174E">
        <w:t>12=Austin PC. An Introduction to Propensity Score Methods for Reducing the Effects of Confounding in Observational Studies. Multivariate Behav Res. 2011 May;46(3):399-424. doi: 10.1080/00273171.2011.568786. Epub 2011 Jun 8. PMID: 21818162; PMCID: PMC3144483.</w:t>
      </w:r>
    </w:p>
    <w:p w14:paraId="379C30DE" w14:textId="338D27E4" w:rsidR="00792C76" w:rsidRDefault="00792C76">
      <w:pPr>
        <w:pStyle w:val="CommentText"/>
      </w:pPr>
    </w:p>
    <w:p w14:paraId="187F6295" w14:textId="4210999F" w:rsidR="00792C76" w:rsidRDefault="000111F7">
      <w:pPr>
        <w:pStyle w:val="CommentText"/>
      </w:pPr>
      <w:r w:rsidRPr="47BBEC7F">
        <w:t>https://pmc.ncbi.nlm.nih.gov/articles/PMC3144483/</w:t>
      </w:r>
    </w:p>
  </w:comment>
  <w:comment w:id="25" w:author="Guest User" w:date="2026-04-30T15:18:00Z" w:initials="GU">
    <w:p w14:paraId="6755DA14" w14:textId="47CA63AB" w:rsidR="00792C76" w:rsidRDefault="000111F7">
      <w:pPr>
        <w:pStyle w:val="CommentText"/>
      </w:pPr>
      <w:r>
        <w:rPr>
          <w:rStyle w:val="CommentReference"/>
        </w:rPr>
        <w:annotationRef/>
      </w:r>
      <w:r w:rsidRPr="504171FB">
        <w:t>13=Hernán MA, Robins JM.</w:t>
      </w:r>
    </w:p>
    <w:p w14:paraId="34C7200A" w14:textId="5D92AA09" w:rsidR="00792C76" w:rsidRDefault="000111F7">
      <w:pPr>
        <w:pStyle w:val="CommentText"/>
      </w:pPr>
      <w:r w:rsidRPr="4674B5E1">
        <w:rPr>
          <w:i/>
          <w:iCs/>
        </w:rPr>
        <w:t>Using Big Data to Emulate a Target Trial When a Randomized Trial Is Not Available.</w:t>
      </w:r>
    </w:p>
    <w:p w14:paraId="6F52240C" w14:textId="6AEF0ED6" w:rsidR="00792C76" w:rsidRDefault="000111F7">
      <w:pPr>
        <w:pStyle w:val="CommentText"/>
      </w:pPr>
      <w:r w:rsidRPr="575DFD12">
        <w:t xml:space="preserve"> Am J Epidemiol. 2016;183(8):758–764.</w:t>
      </w:r>
    </w:p>
  </w:comment>
  <w:comment w:id="26" w:author="Kileen Shier" w:date="2026-10-09T15:59:00Z" w:initials="KS">
    <w:p w14:paraId="031A68FF" w14:textId="77777777" w:rsidR="003E5E08" w:rsidRDefault="003E5E08" w:rsidP="003E5E08">
      <w:pPr>
        <w:pStyle w:val="CommentText"/>
      </w:pPr>
      <w:r>
        <w:rPr>
          <w:rStyle w:val="CommentReference"/>
        </w:rPr>
        <w:annotationRef/>
      </w:r>
      <w:r>
        <w:t>https://doi.org/10.1128/jcm.01891-22</w:t>
      </w:r>
    </w:p>
  </w:comment>
  <w:comment w:id="27" w:author="Kileen Shier" w:date="2026-10-09T15:59:00Z" w:initials="KS">
    <w:p w14:paraId="16F69658" w14:textId="77777777" w:rsidR="003E5E08" w:rsidRDefault="003E5E08" w:rsidP="003E5E08">
      <w:pPr>
        <w:pStyle w:val="CommentText"/>
      </w:pPr>
      <w:r>
        <w:rPr>
          <w:rStyle w:val="CommentReference"/>
        </w:rPr>
        <w:annotationRef/>
      </w:r>
      <w:r>
        <w:t>https://doi.org/10.3390/diagnostics15050566</w:t>
      </w:r>
    </w:p>
  </w:comment>
  <w:comment w:id="28" w:author="Kileen Shier" w:date="2026-10-09T16:00:00Z" w:initials="KS">
    <w:p w14:paraId="164B495C" w14:textId="77777777" w:rsidR="003E5E08" w:rsidRDefault="003E5E08" w:rsidP="003E5E08">
      <w:pPr>
        <w:pStyle w:val="CommentText"/>
      </w:pPr>
      <w:r>
        <w:rPr>
          <w:rStyle w:val="CommentReference"/>
        </w:rPr>
        <w:annotationRef/>
      </w:r>
      <w:r>
        <w:t xml:space="preserve">(neonate ref - https://doi.org/10.1128/jcm.43.9.4823-4825.2005) (infants/children ref - https://doi.org/10.1128/jcm.01525-13) (adolescents ref - https://doi.org/10.1128/jcm.01656-08). </w:t>
      </w:r>
    </w:p>
  </w:comment>
  <w:comment w:id="29" w:author="Kileen Shier" w:date="2026-10-09T16:00:00Z" w:initials="KS">
    <w:p w14:paraId="6DC6DCD5" w14:textId="77777777" w:rsidR="003E5E08" w:rsidRDefault="003E5E08" w:rsidP="003E5E08">
      <w:pPr>
        <w:pStyle w:val="CommentText"/>
      </w:pPr>
      <w:r>
        <w:rPr>
          <w:rStyle w:val="CommentReference"/>
        </w:rPr>
        <w:annotationRef/>
      </w:r>
      <w:r>
        <w:t xml:space="preserve">ref: </w:t>
      </w:r>
      <w:hyperlink r:id="rId7" w:history="1">
        <w:r w:rsidRPr="00AA3F8E">
          <w:rPr>
            <w:rStyle w:val="Hyperlink"/>
          </w:rPr>
          <w:t>FDA - Providing Information about Pediatric Uses of Medical Devices</w:t>
        </w:r>
      </w:hyperlink>
      <w:r>
        <w:t xml:space="preserve">) (ref: </w:t>
      </w:r>
      <w:hyperlink r:id="rId8" w:history="1">
        <w:r w:rsidRPr="00AA3F8E">
          <w:rPr>
            <w:rStyle w:val="Hyperlink"/>
          </w:rPr>
          <w:t>FDA - Geriatric Information in  Human Prescription Drug  and Biological Product  Labeling</w:t>
        </w:r>
      </w:hyperlink>
      <w:r>
        <w:t>):</w:t>
      </w:r>
    </w:p>
  </w:comment>
  <w:comment w:id="30" w:author="Kileen Shier" w:date="2026-04-17T10:49:00Z" w:initials="KS">
    <w:p w14:paraId="7AE0E3AC" w14:textId="77777777" w:rsidR="00B05525" w:rsidRDefault="00B05525" w:rsidP="00B05525">
      <w:pPr>
        <w:pStyle w:val="CommentText"/>
      </w:pPr>
      <w:r>
        <w:rPr>
          <w:rStyle w:val="CommentReference"/>
        </w:rPr>
        <w:annotationRef/>
      </w:r>
      <w:hyperlink r:id="rId9" w:history="1">
        <w:r w:rsidRPr="007E6919">
          <w:rPr>
            <w:rStyle w:val="Hyperlink"/>
          </w:rPr>
          <w:t>Territorial typologies manual - urban-rural typology - Statistics Explained - Eurostat</w:t>
        </w:r>
      </w:hyperlink>
      <w:r>
        <w:t xml:space="preserve"> </w:t>
      </w:r>
    </w:p>
  </w:comment>
  <w:comment w:id="31" w:author="Guest User" w:date="2024-08-27T18:07:00Z" w:initials="GU">
    <w:p w14:paraId="1042C561" w14:textId="0F20FFF4" w:rsidR="56F423E2" w:rsidRDefault="56F423E2" w:rsidP="56F423E2">
      <w:pPr>
        <w:pStyle w:val="CommentText"/>
        <w:rPr>
          <w:rStyle w:val="Hyperlink"/>
        </w:rPr>
      </w:pPr>
      <w:hyperlink r:id="rId10">
        <w:r w:rsidRPr="56F423E2">
          <w:rPr>
            <w:rStyle w:val="Hyperlink"/>
          </w:rPr>
          <w:t>Search Results for “” – OSLM (ifcc.org)</w:t>
        </w:r>
      </w:hyperlink>
      <w:r>
        <w:rPr>
          <w:rStyle w:val="CommentReference"/>
        </w:rPr>
        <w:annotationRef/>
      </w:r>
    </w:p>
  </w:comment>
  <w:comment w:id="32" w:author="Guest User" w:date="2024-08-27T15:51:00Z" w:initials="GU">
    <w:p w14:paraId="6035D0DD" w14:textId="04C14EA7" w:rsidR="3998FBA6" w:rsidRDefault="3998FBA6" w:rsidP="3998FBA6">
      <w:pPr>
        <w:pStyle w:val="CommentText"/>
        <w:rPr>
          <w:rStyle w:val="Hyperlink"/>
        </w:rPr>
      </w:pPr>
      <w:hyperlink r:id="rId11">
        <w:r w:rsidRPr="3998FBA6">
          <w:rPr>
            <w:rStyle w:val="Hyperlink"/>
          </w:rPr>
          <w:t>Linking Laboratory Testing to Clinical Outcomes: Bridging the Gap through Outcome-Based Studies in Laboratory Medicine | Clinical Chemistry | Oxford Academic (oup.com)</w:t>
        </w:r>
      </w:hyperlink>
      <w:r>
        <w:rPr>
          <w:rStyle w:val="CommentReference"/>
        </w:rPr>
        <w:annotationRef/>
      </w:r>
    </w:p>
  </w:comment>
  <w:comment w:id="33" w:author="James Scott Parrott" w:date="2024-09-30T05:42:00Z" w:initials="JP">
    <w:p w14:paraId="279549CB" w14:textId="77777777" w:rsidR="001C6E90" w:rsidRDefault="001C6E90" w:rsidP="001C6E90">
      <w:pPr>
        <w:pStyle w:val="CommentText"/>
      </w:pPr>
      <w:r>
        <w:rPr>
          <w:rStyle w:val="CommentReference"/>
        </w:rPr>
        <w:annotationRef/>
      </w:r>
      <w:r>
        <w:t>Cite the new ASM BCC guideline</w:t>
      </w:r>
    </w:p>
  </w:comment>
  <w:comment w:id="34" w:author="Nicole Jackson" w:date="2025-06-13T16:41:00Z" w:initials="NJ">
    <w:p w14:paraId="2A967117" w14:textId="77777777" w:rsidR="00996141" w:rsidRDefault="00996141" w:rsidP="00996141">
      <w:pPr>
        <w:pStyle w:val="CommentText"/>
      </w:pPr>
      <w:r>
        <w:rPr>
          <w:rStyle w:val="CommentReference"/>
        </w:rPr>
        <w:annotationRef/>
      </w:r>
      <w:r>
        <w:t>Sautter RL, Parrott JS, Nachamkin I, Diel C, Tom RJ, Bobenchik AM, Bradford JY, Gilligan P, Halstead DC, LaSala PR, Mochon AB, Mortensen JE, Boyce L, Baselski V.2024.American Society for Microbiology evidence-based laboratory medicine practice guidelines to reduce blood culture contamination rates: a systematic review and meta-analysis. Clin Microbiol Rev 37:e00087-24.https://doi.org/10.1128/cmr.00087-24</w:t>
      </w:r>
    </w:p>
  </w:comment>
  <w:comment w:id="35" w:author="James Scott Parrott" w:date="2024-09-30T05:42:00Z" w:initials="JP">
    <w:p w14:paraId="253CC5B7" w14:textId="12353176" w:rsidR="001C6E90" w:rsidRDefault="001C6E90" w:rsidP="001C6E90">
      <w:pPr>
        <w:pStyle w:val="CommentText"/>
      </w:pPr>
      <w:r>
        <w:rPr>
          <w:rStyle w:val="CommentReference"/>
        </w:rPr>
        <w:annotationRef/>
      </w:r>
      <w:r>
        <w:t>1.</w:t>
      </w:r>
      <w:r>
        <w:tab/>
        <w:t xml:space="preserve">Blanchard CM, Livet M. Ensuring intervention success: Assessing fit as an overlooked step of the implementation process. </w:t>
      </w:r>
      <w:r>
        <w:rPr>
          <w:i/>
          <w:iCs/>
        </w:rPr>
        <w:t>Pharm Pract (Granada)</w:t>
      </w:r>
      <w:r>
        <w:t>. Oct-Dec 2020;18(4):2235. doi:10.18549/PharmPract.2020.4.2235</w:t>
      </w:r>
    </w:p>
    <w:p w14:paraId="2779D692" w14:textId="77777777" w:rsidR="001C6E90" w:rsidRDefault="001C6E90" w:rsidP="001C6E90">
      <w:pPr>
        <w:pStyle w:val="CommentText"/>
      </w:pPr>
      <w:r>
        <w:t>2.</w:t>
      </w:r>
      <w:r>
        <w:tab/>
        <w:t xml:space="preserve">Kaplan HC, Provost LP, Froehle CM, Margolis PA. The Model for Understanding Success in Quality (MUSIQ): building a theory of context in healthcare quality improvement. </w:t>
      </w:r>
      <w:r>
        <w:rPr>
          <w:i/>
          <w:iCs/>
        </w:rPr>
        <w:t>BMJ Qual Saf</w:t>
      </w:r>
      <w:r>
        <w:t>. Jan 2012;21(1):13-20. doi:10.1136/bmjqs-2011-000010</w:t>
      </w:r>
    </w:p>
    <w:p w14:paraId="082977C2" w14:textId="77777777" w:rsidR="001C6E90" w:rsidRDefault="001C6E90" w:rsidP="001C6E90">
      <w:pPr>
        <w:pStyle w:val="CommentText"/>
      </w:pPr>
      <w:r>
        <w:t>3.</w:t>
      </w:r>
      <w:r>
        <w:tab/>
        <w:t xml:space="preserve">May C. Towards a general theory of implementation. </w:t>
      </w:r>
      <w:r>
        <w:rPr>
          <w:i/>
          <w:iCs/>
        </w:rPr>
        <w:t>Implementation science : IS</w:t>
      </w:r>
      <w:r>
        <w:t>. 2013;8(1):18. doi:10.1186/1748-5908-8-18</w:t>
      </w:r>
    </w:p>
    <w:p w14:paraId="39E4035A" w14:textId="77777777" w:rsidR="001C6E90" w:rsidRDefault="001C6E90" w:rsidP="001C6E90">
      <w:pPr>
        <w:pStyle w:val="CommentText"/>
      </w:pPr>
      <w:r>
        <w:t>4.</w:t>
      </w:r>
      <w:r>
        <w:tab/>
        <w:t xml:space="preserve">Sarkies MN, Francis-Auton E, Long JC, Pomare C, Hardwick R, Braithwaite J. Making implementation science more real. </w:t>
      </w:r>
      <w:r>
        <w:rPr>
          <w:i/>
          <w:iCs/>
        </w:rPr>
        <w:t>BMC Med Res Methodol</w:t>
      </w:r>
      <w:r>
        <w:t>. Jun 25 2022;22(1):178. doi:10.1186/s12874-022-01661-2</w:t>
      </w:r>
    </w:p>
  </w:comment>
  <w:comment w:id="36" w:author="Nicole Jackson" w:date="2025-06-16T10:00:00Z" w:initials="NJ">
    <w:p w14:paraId="0ACA6B86" w14:textId="77777777" w:rsidR="00F513AD" w:rsidRDefault="00F513AD" w:rsidP="00F513AD">
      <w:pPr>
        <w:pStyle w:val="CommentText"/>
      </w:pPr>
      <w:r>
        <w:rPr>
          <w:rStyle w:val="CommentReference"/>
        </w:rPr>
        <w:annotationRef/>
      </w:r>
      <w:r>
        <w:t>Sautter RL, Parrott JS, Nachamkin I, Diel C, Tom RJ, Bobenchik AM, Bradford JY, Gilligan P, Halstead DC, LaSala PR, Mochon AB, Mortensen JE, Boyce L, Baselski V. American Society for Microbiology evidence-based laboratory medicine practice guidelines to reduce blood culture contamination rates: a systematic review and meta-analysis. Clin Microbiol Rev. 2024 Dec 10;37(4):e0008724. doi: 10.1128/cmr.00087-24. Epub 2024 Nov 4. PMID: 39495314; PMCID: PMC11629619.</w:t>
      </w:r>
    </w:p>
  </w:comment>
  <w:comment w:id="37" w:author="Kileen Shier" w:date="2026-04-30T13:19:00Z" w:initials="KS">
    <w:p w14:paraId="102785BE" w14:textId="77777777" w:rsidR="003C4709" w:rsidRDefault="003C4709" w:rsidP="003C4709">
      <w:pPr>
        <w:pStyle w:val="CommentText"/>
      </w:pPr>
      <w:r>
        <w:rPr>
          <w:rStyle w:val="CommentReference"/>
        </w:rPr>
        <w:annotationRef/>
      </w:r>
      <w:r>
        <w:t>Table in separate document</w:t>
      </w:r>
    </w:p>
  </w:comment>
  <w:comment w:id="39" w:author="James Parrott" w:date="2024-07-17T13:32:00Z" w:initials="JP">
    <w:p w14:paraId="41CB3618" w14:textId="77777777" w:rsidR="000E03B1" w:rsidRDefault="000E03B1" w:rsidP="00842354">
      <w:pPr>
        <w:pStyle w:val="CommentText"/>
      </w:pPr>
      <w:r>
        <w:rPr>
          <w:rStyle w:val="CommentReference"/>
        </w:rPr>
        <w:annotationRef/>
      </w:r>
      <w:r>
        <w:t>Brian, you may have better examples than these. Feel free to edit as you see fit.</w:t>
      </w:r>
    </w:p>
  </w:comment>
  <w:comment w:id="40" w:author="James Parrott" w:date="2024-07-17T14:49:00Z" w:initials="JP">
    <w:p w14:paraId="2BE705D8" w14:textId="77777777" w:rsidR="000E03B1" w:rsidRDefault="000E03B1" w:rsidP="00AC1C0F">
      <w:pPr>
        <w:pStyle w:val="CommentText"/>
      </w:pPr>
      <w:r>
        <w:rPr>
          <w:rStyle w:val="CommentReference"/>
        </w:rPr>
        <w:annotationRef/>
      </w:r>
      <w:r>
        <w:t xml:space="preserve">Viera AJ. Odds ratios and risk ratios: what's the difference and why does it matter? </w:t>
      </w:r>
      <w:r>
        <w:rPr>
          <w:i/>
          <w:iCs/>
        </w:rPr>
        <w:t>South Med J</w:t>
      </w:r>
      <w:r>
        <w:t>. Jul 2008;101(7):730-4. doi:10.1097/SMJ.0b013e31817a7ee4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691675" w15:done="0"/>
  <w15:commentEx w15:paraId="5FD11A00" w15:done="0"/>
  <w15:commentEx w15:paraId="6CF3D861" w15:done="0"/>
  <w15:commentEx w15:paraId="64353F34" w15:done="0"/>
  <w15:commentEx w15:paraId="5D87DE61" w15:done="0"/>
  <w15:commentEx w15:paraId="4E74980D" w15:done="0"/>
  <w15:commentEx w15:paraId="7394E987" w15:done="0"/>
  <w15:commentEx w15:paraId="42E99119" w15:done="0"/>
  <w15:commentEx w15:paraId="03C04D9D" w15:done="0"/>
  <w15:commentEx w15:paraId="3C7183F2" w15:done="0"/>
  <w15:commentEx w15:paraId="4F463589" w15:done="0"/>
  <w15:commentEx w15:paraId="08A2F56D" w15:done="0"/>
  <w15:commentEx w15:paraId="0379ECF2" w15:done="0"/>
  <w15:commentEx w15:paraId="4858A2E1" w15:done="0"/>
  <w15:commentEx w15:paraId="532052EC" w15:done="0"/>
  <w15:commentEx w15:paraId="484D6B41" w15:done="0"/>
  <w15:commentEx w15:paraId="1022B0D8" w15:done="0"/>
  <w15:commentEx w15:paraId="226D04E8" w15:done="0"/>
  <w15:commentEx w15:paraId="123CEE93" w15:done="0"/>
  <w15:commentEx w15:paraId="27ACE5BA" w15:done="0"/>
  <w15:commentEx w15:paraId="1E876CF4" w15:done="0"/>
  <w15:commentEx w15:paraId="6B716A02" w15:done="0"/>
  <w15:commentEx w15:paraId="773B5D54" w15:done="0"/>
  <w15:commentEx w15:paraId="11833524" w15:done="0"/>
  <w15:commentEx w15:paraId="187F6295" w15:done="0"/>
  <w15:commentEx w15:paraId="6F52240C" w15:done="0"/>
  <w15:commentEx w15:paraId="031A68FF" w15:done="0"/>
  <w15:commentEx w15:paraId="16F69658" w15:done="0"/>
  <w15:commentEx w15:paraId="164B495C" w15:done="0"/>
  <w15:commentEx w15:paraId="6DC6DCD5" w15:done="0"/>
  <w15:commentEx w15:paraId="7AE0E3AC" w15:done="0"/>
  <w15:commentEx w15:paraId="1042C561" w15:done="0"/>
  <w15:commentEx w15:paraId="6035D0DD" w15:done="0"/>
  <w15:commentEx w15:paraId="279549CB" w15:done="0"/>
  <w15:commentEx w15:paraId="2A967117" w15:paraIdParent="279549CB" w15:done="0"/>
  <w15:commentEx w15:paraId="39E4035A" w15:done="0"/>
  <w15:commentEx w15:paraId="0ACA6B86" w15:done="0"/>
  <w15:commentEx w15:paraId="102785BE" w15:done="0"/>
  <w15:commentEx w15:paraId="41CB3618" w15:done="0"/>
  <w15:commentEx w15:paraId="2BE705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814C71" w16cex:dateUtc="2026-09-29T19:56:00Z"/>
  <w16cex:commentExtensible w16cex:durableId="12CB2A88" w16cex:dateUtc="2026-05-22T20:48:00Z"/>
  <w16cex:commentExtensible w16cex:durableId="5C7BE77E" w16cex:dateUtc="2026-09-29T19:59:00Z"/>
  <w16cex:commentExtensible w16cex:durableId="33B6EBFB" w16cex:dateUtc="2026-09-29T19:59:00Z"/>
  <w16cex:commentExtensible w16cex:durableId="3F80C06E" w16cex:dateUtc="2026-09-29T20:06:00Z"/>
  <w16cex:commentExtensible w16cex:durableId="3A6FC1D2" w16cex:dateUtc="2026-09-29T20:07:00Z"/>
  <w16cex:commentExtensible w16cex:durableId="5991A263" w16cex:dateUtc="2026-09-29T20:10:00Z"/>
  <w16cex:commentExtensible w16cex:durableId="68F8D802" w16cex:dateUtc="2025-12-10T20:56:00Z"/>
  <w16cex:commentExtensible w16cex:durableId="6C5C47CA" w16cex:dateUtc="2026-05-11T16:02:00Z"/>
  <w16cex:commentExtensible w16cex:durableId="09B62D57" w16cex:dateUtc="2026-09-29T20:10:00Z"/>
  <w16cex:commentExtensible w16cex:durableId="7821D218" w16cex:dateUtc="2026-05-11T16:48:00Z"/>
  <w16cex:commentExtensible w16cex:durableId="4BBCF5A8" w16cex:dateUtc="2026-05-12T18:27:00Z"/>
  <w16cex:commentExtensible w16cex:durableId="06F8EEF1" w16cex:dateUtc="2026-05-12T19:31:00Z"/>
  <w16cex:commentExtensible w16cex:durableId="0B1719FA" w16cex:dateUtc="2026-04-30T20:26:00Z"/>
  <w16cex:commentExtensible w16cex:durableId="1D76869B" w16cex:dateUtc="2026-04-30T20:28:00Z"/>
  <w16cex:commentExtensible w16cex:durableId="37F04429" w16cex:dateUtc="2026-04-30T20:35:00Z"/>
  <w16cex:commentExtensible w16cex:durableId="68B6CD3A" w16cex:dateUtc="2026-10-09T18:39:00Z"/>
  <w16cex:commentExtensible w16cex:durableId="72BC908D" w16cex:dateUtc="2026-04-30T20:14:00Z"/>
  <w16cex:commentExtensible w16cex:durableId="4FF4573C" w16cex:dateUtc="2026-04-30T20:15:00Z"/>
  <w16cex:commentExtensible w16cex:durableId="72B29CFD" w16cex:dateUtc="2026-04-30T20:16:00Z"/>
  <w16cex:commentExtensible w16cex:durableId="193D3D76" w16cex:dateUtc="2026-04-30T22:18:00Z"/>
  <w16cex:commentExtensible w16cex:durableId="2BA20382" w16cex:dateUtc="2026-04-30T22:18:00Z"/>
  <w16cex:commentExtensible w16cex:durableId="1F8B4258" w16cex:dateUtc="2026-05-04T12:05:00Z"/>
  <w16cex:commentExtensible w16cex:durableId="717B5177" w16cex:dateUtc="2026-01-27T17:17:00Z"/>
  <w16cex:commentExtensible w16cex:durableId="0BE1A18C" w16cex:dateUtc="2026-05-04T12:01:00Z"/>
  <w16cex:commentExtensible w16cex:durableId="275D992C" w16cex:dateUtc="2026-04-30T20:18:00Z"/>
  <w16cex:commentExtensible w16cex:durableId="531FD1DB" w16cex:dateUtc="2026-10-09T19:59:00Z"/>
  <w16cex:commentExtensible w16cex:durableId="163C121A" w16cex:dateUtc="2026-10-09T19:59:00Z"/>
  <w16cex:commentExtensible w16cex:durableId="73A6CFAE" w16cex:dateUtc="2026-10-09T20:00:00Z"/>
  <w16cex:commentExtensible w16cex:durableId="756CE43C" w16cex:dateUtc="2026-10-09T20:00:00Z"/>
  <w16cex:commentExtensible w16cex:durableId="7E5D999D" w16cex:dateUtc="2026-04-17T14:49:00Z"/>
  <w16cex:commentExtensible w16cex:durableId="66C892D1" w16cex:dateUtc="2024-08-27T22:07:00Z"/>
  <w16cex:commentExtensible w16cex:durableId="37D4D1C6" w16cex:dateUtc="2024-08-27T19:51:00Z"/>
  <w16cex:commentExtensible w16cex:durableId="728788B0" w16cex:dateUtc="2024-09-30T09:42:00Z"/>
  <w16cex:commentExtensible w16cex:durableId="50327FFE" w16cex:dateUtc="2025-06-13T20:41:00Z"/>
  <w16cex:commentExtensible w16cex:durableId="2A45227F" w16cex:dateUtc="2024-09-30T09:42:00Z"/>
  <w16cex:commentExtensible w16cex:durableId="1B2FEFE2" w16cex:dateUtc="2025-06-16T14:00:00Z"/>
  <w16cex:commentExtensible w16cex:durableId="676B1DC7" w16cex:dateUtc="2026-04-30T17:19:00Z"/>
  <w16cex:commentExtensible w16cex:durableId="3A6305F6" w16cex:dateUtc="2024-07-17T17:32:00Z"/>
  <w16cex:commentExtensible w16cex:durableId="11746DAC" w16cex:dateUtc="2024-07-17T18: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691675" w16cid:durableId="01814C71"/>
  <w16cid:commentId w16cid:paraId="5FD11A00" w16cid:durableId="12CB2A88"/>
  <w16cid:commentId w16cid:paraId="6CF3D861" w16cid:durableId="5C7BE77E"/>
  <w16cid:commentId w16cid:paraId="64353F34" w16cid:durableId="33B6EBFB"/>
  <w16cid:commentId w16cid:paraId="5D87DE61" w16cid:durableId="3F80C06E"/>
  <w16cid:commentId w16cid:paraId="4E74980D" w16cid:durableId="3A6FC1D2"/>
  <w16cid:commentId w16cid:paraId="7394E987" w16cid:durableId="5991A263"/>
  <w16cid:commentId w16cid:paraId="42E99119" w16cid:durableId="68F8D802"/>
  <w16cid:commentId w16cid:paraId="03C04D9D" w16cid:durableId="6C5C47CA"/>
  <w16cid:commentId w16cid:paraId="3C7183F2" w16cid:durableId="09B62D57"/>
  <w16cid:commentId w16cid:paraId="4F463589" w16cid:durableId="7821D218"/>
  <w16cid:commentId w16cid:paraId="08A2F56D" w16cid:durableId="4BBCF5A8"/>
  <w16cid:commentId w16cid:paraId="0379ECF2" w16cid:durableId="06F8EEF1"/>
  <w16cid:commentId w16cid:paraId="4858A2E1" w16cid:durableId="0B1719FA"/>
  <w16cid:commentId w16cid:paraId="532052EC" w16cid:durableId="1D76869B"/>
  <w16cid:commentId w16cid:paraId="484D6B41" w16cid:durableId="37F04429"/>
  <w16cid:commentId w16cid:paraId="1022B0D8" w16cid:durableId="68B6CD3A"/>
  <w16cid:commentId w16cid:paraId="226D04E8" w16cid:durableId="72BC908D"/>
  <w16cid:commentId w16cid:paraId="123CEE93" w16cid:durableId="4FF4573C"/>
  <w16cid:commentId w16cid:paraId="27ACE5BA" w16cid:durableId="72B29CFD"/>
  <w16cid:commentId w16cid:paraId="1E876CF4" w16cid:durableId="193D3D76"/>
  <w16cid:commentId w16cid:paraId="6B716A02" w16cid:durableId="2BA20382"/>
  <w16cid:commentId w16cid:paraId="773B5D54" w16cid:durableId="1F8B4258"/>
  <w16cid:commentId w16cid:paraId="11833524" w16cid:durableId="717B5177"/>
  <w16cid:commentId w16cid:paraId="187F6295" w16cid:durableId="0BE1A18C"/>
  <w16cid:commentId w16cid:paraId="6F52240C" w16cid:durableId="275D992C"/>
  <w16cid:commentId w16cid:paraId="031A68FF" w16cid:durableId="531FD1DB"/>
  <w16cid:commentId w16cid:paraId="16F69658" w16cid:durableId="163C121A"/>
  <w16cid:commentId w16cid:paraId="164B495C" w16cid:durableId="73A6CFAE"/>
  <w16cid:commentId w16cid:paraId="6DC6DCD5" w16cid:durableId="756CE43C"/>
  <w16cid:commentId w16cid:paraId="7AE0E3AC" w16cid:durableId="7E5D999D"/>
  <w16cid:commentId w16cid:paraId="1042C561" w16cid:durableId="66C892D1"/>
  <w16cid:commentId w16cid:paraId="6035D0DD" w16cid:durableId="37D4D1C6"/>
  <w16cid:commentId w16cid:paraId="279549CB" w16cid:durableId="728788B0"/>
  <w16cid:commentId w16cid:paraId="2A967117" w16cid:durableId="50327FFE"/>
  <w16cid:commentId w16cid:paraId="39E4035A" w16cid:durableId="2A45227F"/>
  <w16cid:commentId w16cid:paraId="0ACA6B86" w16cid:durableId="1B2FEFE2"/>
  <w16cid:commentId w16cid:paraId="102785BE" w16cid:durableId="676B1DC7"/>
  <w16cid:commentId w16cid:paraId="41CB3618" w16cid:durableId="3A6305F6"/>
  <w16cid:commentId w16cid:paraId="2BE705D8" w16cid:durableId="11746D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C8058" w14:textId="77777777" w:rsidR="00473A9B" w:rsidRDefault="00473A9B" w:rsidP="00FD7AD2">
      <w:pPr>
        <w:spacing w:after="0" w:line="240" w:lineRule="auto"/>
      </w:pPr>
      <w:r>
        <w:separator/>
      </w:r>
    </w:p>
  </w:endnote>
  <w:endnote w:type="continuationSeparator" w:id="0">
    <w:p w14:paraId="6FEAC235" w14:textId="77777777" w:rsidR="00473A9B" w:rsidRDefault="00473A9B" w:rsidP="00FD7AD2">
      <w:pPr>
        <w:spacing w:after="0" w:line="240" w:lineRule="auto"/>
      </w:pPr>
      <w:r>
        <w:continuationSeparator/>
      </w:r>
    </w:p>
  </w:endnote>
  <w:endnote w:type="continuationNotice" w:id="1">
    <w:p w14:paraId="77BF4AB4" w14:textId="77777777" w:rsidR="00473A9B" w:rsidRDefault="00473A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F56A47E" w14:paraId="26924DA9" w14:textId="77777777" w:rsidTr="4F56A47E">
      <w:trPr>
        <w:trHeight w:val="300"/>
      </w:trPr>
      <w:tc>
        <w:tcPr>
          <w:tcW w:w="3120" w:type="dxa"/>
        </w:tcPr>
        <w:p w14:paraId="4FFD9DC8" w14:textId="62EB72E1" w:rsidR="4F56A47E" w:rsidRDefault="4F56A47E" w:rsidP="4F56A47E">
          <w:pPr>
            <w:pStyle w:val="Header"/>
            <w:ind w:left="-115"/>
          </w:pPr>
        </w:p>
      </w:tc>
      <w:tc>
        <w:tcPr>
          <w:tcW w:w="3120" w:type="dxa"/>
        </w:tcPr>
        <w:p w14:paraId="5D911AA0" w14:textId="47AFAFD5" w:rsidR="4F56A47E" w:rsidRDefault="4F56A47E" w:rsidP="4F56A47E">
          <w:pPr>
            <w:pStyle w:val="Header"/>
            <w:jc w:val="center"/>
          </w:pPr>
        </w:p>
      </w:tc>
      <w:tc>
        <w:tcPr>
          <w:tcW w:w="3120" w:type="dxa"/>
        </w:tcPr>
        <w:p w14:paraId="5F072B36" w14:textId="1B45F090" w:rsidR="4F56A47E" w:rsidRDefault="4F56A47E" w:rsidP="4F56A47E">
          <w:pPr>
            <w:pStyle w:val="Header"/>
            <w:ind w:right="-115"/>
            <w:jc w:val="right"/>
          </w:pPr>
        </w:p>
      </w:tc>
    </w:tr>
  </w:tbl>
  <w:p w14:paraId="6DD8056D" w14:textId="0A5E2C50" w:rsidR="00FD7AD2" w:rsidRDefault="00FD7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B5828" w14:textId="77777777" w:rsidR="00473A9B" w:rsidRDefault="00473A9B" w:rsidP="00FD7AD2">
      <w:pPr>
        <w:spacing w:after="0" w:line="240" w:lineRule="auto"/>
      </w:pPr>
      <w:r>
        <w:separator/>
      </w:r>
    </w:p>
  </w:footnote>
  <w:footnote w:type="continuationSeparator" w:id="0">
    <w:p w14:paraId="52DA9726" w14:textId="77777777" w:rsidR="00473A9B" w:rsidRDefault="00473A9B" w:rsidP="00FD7AD2">
      <w:pPr>
        <w:spacing w:after="0" w:line="240" w:lineRule="auto"/>
      </w:pPr>
      <w:r>
        <w:continuationSeparator/>
      </w:r>
    </w:p>
  </w:footnote>
  <w:footnote w:type="continuationNotice" w:id="1">
    <w:p w14:paraId="487D46AD" w14:textId="77777777" w:rsidR="00473A9B" w:rsidRDefault="00473A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5150"/>
    <w:multiLevelType w:val="hybridMultilevel"/>
    <w:tmpl w:val="7110F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4805A"/>
    <w:multiLevelType w:val="hybridMultilevel"/>
    <w:tmpl w:val="59BCF230"/>
    <w:lvl w:ilvl="0" w:tplc="D82E0D1E">
      <w:start w:val="1"/>
      <w:numFmt w:val="bullet"/>
      <w:lvlText w:val="·"/>
      <w:lvlJc w:val="left"/>
      <w:pPr>
        <w:ind w:left="720" w:hanging="360"/>
      </w:pPr>
      <w:rPr>
        <w:rFonts w:ascii="Symbol" w:hAnsi="Symbol" w:hint="default"/>
      </w:rPr>
    </w:lvl>
    <w:lvl w:ilvl="1" w:tplc="85AA6A46">
      <w:start w:val="1"/>
      <w:numFmt w:val="bullet"/>
      <w:lvlText w:val="o"/>
      <w:lvlJc w:val="left"/>
      <w:pPr>
        <w:ind w:left="1440" w:hanging="360"/>
      </w:pPr>
      <w:rPr>
        <w:rFonts w:ascii="Courier New" w:hAnsi="Courier New" w:hint="default"/>
      </w:rPr>
    </w:lvl>
    <w:lvl w:ilvl="2" w:tplc="582E544C">
      <w:start w:val="1"/>
      <w:numFmt w:val="bullet"/>
      <w:lvlText w:val=""/>
      <w:lvlJc w:val="left"/>
      <w:pPr>
        <w:ind w:left="2160" w:hanging="360"/>
      </w:pPr>
      <w:rPr>
        <w:rFonts w:ascii="Wingdings" w:hAnsi="Wingdings" w:hint="default"/>
      </w:rPr>
    </w:lvl>
    <w:lvl w:ilvl="3" w:tplc="389ABC24">
      <w:start w:val="1"/>
      <w:numFmt w:val="bullet"/>
      <w:lvlText w:val=""/>
      <w:lvlJc w:val="left"/>
      <w:pPr>
        <w:ind w:left="2880" w:hanging="360"/>
      </w:pPr>
      <w:rPr>
        <w:rFonts w:ascii="Symbol" w:hAnsi="Symbol" w:hint="default"/>
      </w:rPr>
    </w:lvl>
    <w:lvl w:ilvl="4" w:tplc="2C38C544">
      <w:start w:val="1"/>
      <w:numFmt w:val="bullet"/>
      <w:lvlText w:val="o"/>
      <w:lvlJc w:val="left"/>
      <w:pPr>
        <w:ind w:left="3600" w:hanging="360"/>
      </w:pPr>
      <w:rPr>
        <w:rFonts w:ascii="Courier New" w:hAnsi="Courier New" w:hint="default"/>
      </w:rPr>
    </w:lvl>
    <w:lvl w:ilvl="5" w:tplc="6630DE3C">
      <w:start w:val="1"/>
      <w:numFmt w:val="bullet"/>
      <w:lvlText w:val=""/>
      <w:lvlJc w:val="left"/>
      <w:pPr>
        <w:ind w:left="4320" w:hanging="360"/>
      </w:pPr>
      <w:rPr>
        <w:rFonts w:ascii="Wingdings" w:hAnsi="Wingdings" w:hint="default"/>
      </w:rPr>
    </w:lvl>
    <w:lvl w:ilvl="6" w:tplc="2076C532">
      <w:start w:val="1"/>
      <w:numFmt w:val="bullet"/>
      <w:lvlText w:val=""/>
      <w:lvlJc w:val="left"/>
      <w:pPr>
        <w:ind w:left="5040" w:hanging="360"/>
      </w:pPr>
      <w:rPr>
        <w:rFonts w:ascii="Symbol" w:hAnsi="Symbol" w:hint="default"/>
      </w:rPr>
    </w:lvl>
    <w:lvl w:ilvl="7" w:tplc="9056B754">
      <w:start w:val="1"/>
      <w:numFmt w:val="bullet"/>
      <w:lvlText w:val="o"/>
      <w:lvlJc w:val="left"/>
      <w:pPr>
        <w:ind w:left="5760" w:hanging="360"/>
      </w:pPr>
      <w:rPr>
        <w:rFonts w:ascii="Courier New" w:hAnsi="Courier New" w:hint="default"/>
      </w:rPr>
    </w:lvl>
    <w:lvl w:ilvl="8" w:tplc="8C3C7DE8">
      <w:start w:val="1"/>
      <w:numFmt w:val="bullet"/>
      <w:lvlText w:val=""/>
      <w:lvlJc w:val="left"/>
      <w:pPr>
        <w:ind w:left="6480" w:hanging="360"/>
      </w:pPr>
      <w:rPr>
        <w:rFonts w:ascii="Wingdings" w:hAnsi="Wingdings" w:hint="default"/>
      </w:rPr>
    </w:lvl>
  </w:abstractNum>
  <w:abstractNum w:abstractNumId="2" w15:restartNumberingAfterBreak="0">
    <w:nsid w:val="0902FA30"/>
    <w:multiLevelType w:val="hybridMultilevel"/>
    <w:tmpl w:val="E9DC3124"/>
    <w:lvl w:ilvl="0" w:tplc="78AA7BC6">
      <w:start w:val="3"/>
      <w:numFmt w:val="upperLetter"/>
      <w:lvlText w:val="%1."/>
      <w:lvlJc w:val="left"/>
      <w:pPr>
        <w:ind w:left="720" w:hanging="360"/>
      </w:pPr>
    </w:lvl>
    <w:lvl w:ilvl="1" w:tplc="BEAA0076">
      <w:start w:val="1"/>
      <w:numFmt w:val="lowerLetter"/>
      <w:lvlText w:val="%2."/>
      <w:lvlJc w:val="left"/>
      <w:pPr>
        <w:ind w:left="1440" w:hanging="360"/>
      </w:pPr>
    </w:lvl>
    <w:lvl w:ilvl="2" w:tplc="F02A0DEE">
      <w:start w:val="1"/>
      <w:numFmt w:val="lowerRoman"/>
      <w:lvlText w:val="%3."/>
      <w:lvlJc w:val="right"/>
      <w:pPr>
        <w:ind w:left="2160" w:hanging="180"/>
      </w:pPr>
    </w:lvl>
    <w:lvl w:ilvl="3" w:tplc="CDA84024">
      <w:start w:val="1"/>
      <w:numFmt w:val="decimal"/>
      <w:lvlText w:val="%4."/>
      <w:lvlJc w:val="left"/>
      <w:pPr>
        <w:ind w:left="2880" w:hanging="360"/>
      </w:pPr>
    </w:lvl>
    <w:lvl w:ilvl="4" w:tplc="0F10507A">
      <w:start w:val="1"/>
      <w:numFmt w:val="lowerLetter"/>
      <w:lvlText w:val="%5."/>
      <w:lvlJc w:val="left"/>
      <w:pPr>
        <w:ind w:left="3600" w:hanging="360"/>
      </w:pPr>
    </w:lvl>
    <w:lvl w:ilvl="5" w:tplc="CC069BF6">
      <w:start w:val="1"/>
      <w:numFmt w:val="lowerRoman"/>
      <w:lvlText w:val="%6."/>
      <w:lvlJc w:val="right"/>
      <w:pPr>
        <w:ind w:left="4320" w:hanging="180"/>
      </w:pPr>
    </w:lvl>
    <w:lvl w:ilvl="6" w:tplc="94225738">
      <w:start w:val="1"/>
      <w:numFmt w:val="decimal"/>
      <w:lvlText w:val="%7."/>
      <w:lvlJc w:val="left"/>
      <w:pPr>
        <w:ind w:left="5040" w:hanging="360"/>
      </w:pPr>
    </w:lvl>
    <w:lvl w:ilvl="7" w:tplc="552E3A32">
      <w:start w:val="1"/>
      <w:numFmt w:val="lowerLetter"/>
      <w:lvlText w:val="%8."/>
      <w:lvlJc w:val="left"/>
      <w:pPr>
        <w:ind w:left="5760" w:hanging="360"/>
      </w:pPr>
    </w:lvl>
    <w:lvl w:ilvl="8" w:tplc="EA0C7FFE">
      <w:start w:val="1"/>
      <w:numFmt w:val="lowerRoman"/>
      <w:lvlText w:val="%9."/>
      <w:lvlJc w:val="right"/>
      <w:pPr>
        <w:ind w:left="6480" w:hanging="180"/>
      </w:pPr>
    </w:lvl>
  </w:abstractNum>
  <w:abstractNum w:abstractNumId="3" w15:restartNumberingAfterBreak="0">
    <w:nsid w:val="0C82AC67"/>
    <w:multiLevelType w:val="hybridMultilevel"/>
    <w:tmpl w:val="EDB4B8CA"/>
    <w:lvl w:ilvl="0" w:tplc="A8E86AB8">
      <w:start w:val="1"/>
      <w:numFmt w:val="bullet"/>
      <w:lvlText w:val=""/>
      <w:lvlJc w:val="left"/>
      <w:pPr>
        <w:ind w:left="720" w:hanging="360"/>
      </w:pPr>
      <w:rPr>
        <w:rFonts w:ascii="Symbol" w:hAnsi="Symbol" w:hint="default"/>
      </w:rPr>
    </w:lvl>
    <w:lvl w:ilvl="1" w:tplc="A9861E76">
      <w:start w:val="1"/>
      <w:numFmt w:val="bullet"/>
      <w:lvlText w:val="o"/>
      <w:lvlJc w:val="left"/>
      <w:pPr>
        <w:ind w:left="1440" w:hanging="360"/>
      </w:pPr>
      <w:rPr>
        <w:rFonts w:ascii="&quot;Courier New&quot;" w:hAnsi="&quot;Courier New&quot;" w:hint="default"/>
      </w:rPr>
    </w:lvl>
    <w:lvl w:ilvl="2" w:tplc="15ACA7B0">
      <w:start w:val="1"/>
      <w:numFmt w:val="bullet"/>
      <w:lvlText w:val=""/>
      <w:lvlJc w:val="left"/>
      <w:pPr>
        <w:ind w:left="2160" w:hanging="360"/>
      </w:pPr>
      <w:rPr>
        <w:rFonts w:ascii="Wingdings" w:hAnsi="Wingdings" w:hint="default"/>
      </w:rPr>
    </w:lvl>
    <w:lvl w:ilvl="3" w:tplc="877C44B4">
      <w:start w:val="1"/>
      <w:numFmt w:val="bullet"/>
      <w:lvlText w:val=""/>
      <w:lvlJc w:val="left"/>
      <w:pPr>
        <w:ind w:left="2880" w:hanging="360"/>
      </w:pPr>
      <w:rPr>
        <w:rFonts w:ascii="Symbol" w:hAnsi="Symbol" w:hint="default"/>
      </w:rPr>
    </w:lvl>
    <w:lvl w:ilvl="4" w:tplc="360AA5E8">
      <w:start w:val="1"/>
      <w:numFmt w:val="bullet"/>
      <w:lvlText w:val="o"/>
      <w:lvlJc w:val="left"/>
      <w:pPr>
        <w:ind w:left="3600" w:hanging="360"/>
      </w:pPr>
      <w:rPr>
        <w:rFonts w:ascii="Courier New" w:hAnsi="Courier New" w:hint="default"/>
      </w:rPr>
    </w:lvl>
    <w:lvl w:ilvl="5" w:tplc="3042BD74">
      <w:start w:val="1"/>
      <w:numFmt w:val="bullet"/>
      <w:lvlText w:val=""/>
      <w:lvlJc w:val="left"/>
      <w:pPr>
        <w:ind w:left="4320" w:hanging="360"/>
      </w:pPr>
      <w:rPr>
        <w:rFonts w:ascii="Wingdings" w:hAnsi="Wingdings" w:hint="default"/>
      </w:rPr>
    </w:lvl>
    <w:lvl w:ilvl="6" w:tplc="811817B4">
      <w:start w:val="1"/>
      <w:numFmt w:val="bullet"/>
      <w:lvlText w:val=""/>
      <w:lvlJc w:val="left"/>
      <w:pPr>
        <w:ind w:left="5040" w:hanging="360"/>
      </w:pPr>
      <w:rPr>
        <w:rFonts w:ascii="Symbol" w:hAnsi="Symbol" w:hint="default"/>
      </w:rPr>
    </w:lvl>
    <w:lvl w:ilvl="7" w:tplc="942CF208">
      <w:start w:val="1"/>
      <w:numFmt w:val="bullet"/>
      <w:lvlText w:val="o"/>
      <w:lvlJc w:val="left"/>
      <w:pPr>
        <w:ind w:left="5760" w:hanging="360"/>
      </w:pPr>
      <w:rPr>
        <w:rFonts w:ascii="Courier New" w:hAnsi="Courier New" w:hint="default"/>
      </w:rPr>
    </w:lvl>
    <w:lvl w:ilvl="8" w:tplc="AEC6892E">
      <w:start w:val="1"/>
      <w:numFmt w:val="bullet"/>
      <w:lvlText w:val=""/>
      <w:lvlJc w:val="left"/>
      <w:pPr>
        <w:ind w:left="6480" w:hanging="360"/>
      </w:pPr>
      <w:rPr>
        <w:rFonts w:ascii="Wingdings" w:hAnsi="Wingdings" w:hint="default"/>
      </w:rPr>
    </w:lvl>
  </w:abstractNum>
  <w:abstractNum w:abstractNumId="4" w15:restartNumberingAfterBreak="0">
    <w:nsid w:val="0CF248FB"/>
    <w:multiLevelType w:val="hybridMultilevel"/>
    <w:tmpl w:val="615A4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6E0C10"/>
    <w:multiLevelType w:val="hybridMultilevel"/>
    <w:tmpl w:val="4BF8D3F6"/>
    <w:lvl w:ilvl="0" w:tplc="33584502">
      <w:start w:val="5"/>
      <w:numFmt w:val="upperLetter"/>
      <w:lvlText w:val="%1."/>
      <w:lvlJc w:val="left"/>
      <w:pPr>
        <w:ind w:left="720" w:hanging="360"/>
      </w:pPr>
    </w:lvl>
    <w:lvl w:ilvl="1" w:tplc="D00E1ED6">
      <w:start w:val="1"/>
      <w:numFmt w:val="lowerLetter"/>
      <w:lvlText w:val="%2."/>
      <w:lvlJc w:val="left"/>
      <w:pPr>
        <w:ind w:left="1440" w:hanging="360"/>
      </w:pPr>
    </w:lvl>
    <w:lvl w:ilvl="2" w:tplc="79427738">
      <w:start w:val="1"/>
      <w:numFmt w:val="lowerRoman"/>
      <w:lvlText w:val="%3."/>
      <w:lvlJc w:val="right"/>
      <w:pPr>
        <w:ind w:left="2160" w:hanging="180"/>
      </w:pPr>
    </w:lvl>
    <w:lvl w:ilvl="3" w:tplc="FAD423C0">
      <w:start w:val="1"/>
      <w:numFmt w:val="decimal"/>
      <w:lvlText w:val="%4."/>
      <w:lvlJc w:val="left"/>
      <w:pPr>
        <w:ind w:left="2880" w:hanging="360"/>
      </w:pPr>
    </w:lvl>
    <w:lvl w:ilvl="4" w:tplc="EE68A86A">
      <w:start w:val="1"/>
      <w:numFmt w:val="lowerLetter"/>
      <w:lvlText w:val="%5."/>
      <w:lvlJc w:val="left"/>
      <w:pPr>
        <w:ind w:left="3600" w:hanging="360"/>
      </w:pPr>
    </w:lvl>
    <w:lvl w:ilvl="5" w:tplc="970E7F72">
      <w:start w:val="1"/>
      <w:numFmt w:val="lowerRoman"/>
      <w:lvlText w:val="%6."/>
      <w:lvlJc w:val="right"/>
      <w:pPr>
        <w:ind w:left="4320" w:hanging="180"/>
      </w:pPr>
    </w:lvl>
    <w:lvl w:ilvl="6" w:tplc="B204C116">
      <w:start w:val="1"/>
      <w:numFmt w:val="decimal"/>
      <w:lvlText w:val="%7."/>
      <w:lvlJc w:val="left"/>
      <w:pPr>
        <w:ind w:left="5040" w:hanging="360"/>
      </w:pPr>
    </w:lvl>
    <w:lvl w:ilvl="7" w:tplc="F7A07404">
      <w:start w:val="1"/>
      <w:numFmt w:val="lowerLetter"/>
      <w:lvlText w:val="%8."/>
      <w:lvlJc w:val="left"/>
      <w:pPr>
        <w:ind w:left="5760" w:hanging="360"/>
      </w:pPr>
    </w:lvl>
    <w:lvl w:ilvl="8" w:tplc="44A007BA">
      <w:start w:val="1"/>
      <w:numFmt w:val="lowerRoman"/>
      <w:lvlText w:val="%9."/>
      <w:lvlJc w:val="right"/>
      <w:pPr>
        <w:ind w:left="6480" w:hanging="180"/>
      </w:pPr>
    </w:lvl>
  </w:abstractNum>
  <w:abstractNum w:abstractNumId="6" w15:restartNumberingAfterBreak="0">
    <w:nsid w:val="1E357E9A"/>
    <w:multiLevelType w:val="hybridMultilevel"/>
    <w:tmpl w:val="3EBE7B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1B66D63"/>
    <w:multiLevelType w:val="multilevel"/>
    <w:tmpl w:val="A20E8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E7AAD3"/>
    <w:multiLevelType w:val="hybridMultilevel"/>
    <w:tmpl w:val="FFFFFFFF"/>
    <w:lvl w:ilvl="0" w:tplc="8564F642">
      <w:start w:val="1"/>
      <w:numFmt w:val="bullet"/>
      <w:lvlText w:val=""/>
      <w:lvlJc w:val="left"/>
      <w:pPr>
        <w:ind w:left="720" w:hanging="360"/>
      </w:pPr>
      <w:rPr>
        <w:rFonts w:ascii="Symbol" w:hAnsi="Symbol" w:hint="default"/>
      </w:rPr>
    </w:lvl>
    <w:lvl w:ilvl="1" w:tplc="E3FE1426">
      <w:start w:val="1"/>
      <w:numFmt w:val="bullet"/>
      <w:lvlText w:val="o"/>
      <w:lvlJc w:val="left"/>
      <w:pPr>
        <w:ind w:left="1440" w:hanging="360"/>
      </w:pPr>
      <w:rPr>
        <w:rFonts w:ascii="Courier New" w:hAnsi="Courier New" w:hint="default"/>
      </w:rPr>
    </w:lvl>
    <w:lvl w:ilvl="2" w:tplc="3E26AD06">
      <w:start w:val="1"/>
      <w:numFmt w:val="bullet"/>
      <w:lvlText w:val=""/>
      <w:lvlJc w:val="left"/>
      <w:pPr>
        <w:ind w:left="2160" w:hanging="360"/>
      </w:pPr>
      <w:rPr>
        <w:rFonts w:ascii="Wingdings" w:hAnsi="Wingdings" w:hint="default"/>
      </w:rPr>
    </w:lvl>
    <w:lvl w:ilvl="3" w:tplc="2E5A868C">
      <w:start w:val="1"/>
      <w:numFmt w:val="bullet"/>
      <w:lvlText w:val=""/>
      <w:lvlJc w:val="left"/>
      <w:pPr>
        <w:ind w:left="2880" w:hanging="360"/>
      </w:pPr>
      <w:rPr>
        <w:rFonts w:ascii="Symbol" w:hAnsi="Symbol" w:hint="default"/>
      </w:rPr>
    </w:lvl>
    <w:lvl w:ilvl="4" w:tplc="2F58931A">
      <w:start w:val="1"/>
      <w:numFmt w:val="bullet"/>
      <w:lvlText w:val="o"/>
      <w:lvlJc w:val="left"/>
      <w:pPr>
        <w:ind w:left="3600" w:hanging="360"/>
      </w:pPr>
      <w:rPr>
        <w:rFonts w:ascii="Courier New" w:hAnsi="Courier New" w:hint="default"/>
      </w:rPr>
    </w:lvl>
    <w:lvl w:ilvl="5" w:tplc="F67CB816">
      <w:start w:val="1"/>
      <w:numFmt w:val="bullet"/>
      <w:lvlText w:val=""/>
      <w:lvlJc w:val="left"/>
      <w:pPr>
        <w:ind w:left="4320" w:hanging="360"/>
      </w:pPr>
      <w:rPr>
        <w:rFonts w:ascii="Wingdings" w:hAnsi="Wingdings" w:hint="default"/>
      </w:rPr>
    </w:lvl>
    <w:lvl w:ilvl="6" w:tplc="D6E49B42">
      <w:start w:val="1"/>
      <w:numFmt w:val="bullet"/>
      <w:lvlText w:val=""/>
      <w:lvlJc w:val="left"/>
      <w:pPr>
        <w:ind w:left="5040" w:hanging="360"/>
      </w:pPr>
      <w:rPr>
        <w:rFonts w:ascii="Symbol" w:hAnsi="Symbol" w:hint="default"/>
      </w:rPr>
    </w:lvl>
    <w:lvl w:ilvl="7" w:tplc="CA42CD9C">
      <w:start w:val="1"/>
      <w:numFmt w:val="bullet"/>
      <w:lvlText w:val="o"/>
      <w:lvlJc w:val="left"/>
      <w:pPr>
        <w:ind w:left="5760" w:hanging="360"/>
      </w:pPr>
      <w:rPr>
        <w:rFonts w:ascii="Courier New" w:hAnsi="Courier New" w:hint="default"/>
      </w:rPr>
    </w:lvl>
    <w:lvl w:ilvl="8" w:tplc="65EC832E">
      <w:start w:val="1"/>
      <w:numFmt w:val="bullet"/>
      <w:lvlText w:val=""/>
      <w:lvlJc w:val="left"/>
      <w:pPr>
        <w:ind w:left="6480" w:hanging="360"/>
      </w:pPr>
      <w:rPr>
        <w:rFonts w:ascii="Wingdings" w:hAnsi="Wingdings" w:hint="default"/>
      </w:rPr>
    </w:lvl>
  </w:abstractNum>
  <w:abstractNum w:abstractNumId="9" w15:restartNumberingAfterBreak="0">
    <w:nsid w:val="24034630"/>
    <w:multiLevelType w:val="hybridMultilevel"/>
    <w:tmpl w:val="BF629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8E9B19"/>
    <w:multiLevelType w:val="hybridMultilevel"/>
    <w:tmpl w:val="E8DCC96C"/>
    <w:lvl w:ilvl="0" w:tplc="F0C0A5C6">
      <w:start w:val="1"/>
      <w:numFmt w:val="bullet"/>
      <w:lvlText w:val=""/>
      <w:lvlJc w:val="left"/>
      <w:pPr>
        <w:ind w:left="720" w:hanging="360"/>
      </w:pPr>
      <w:rPr>
        <w:rFonts w:ascii="Symbol" w:hAnsi="Symbol" w:hint="default"/>
      </w:rPr>
    </w:lvl>
    <w:lvl w:ilvl="1" w:tplc="4F5C03BE">
      <w:start w:val="1"/>
      <w:numFmt w:val="bullet"/>
      <w:lvlText w:val="o"/>
      <w:lvlJc w:val="left"/>
      <w:pPr>
        <w:ind w:left="1440" w:hanging="360"/>
      </w:pPr>
      <w:rPr>
        <w:rFonts w:ascii="&quot;Courier New&quot;" w:hAnsi="&quot;Courier New&quot;" w:hint="default"/>
      </w:rPr>
    </w:lvl>
    <w:lvl w:ilvl="2" w:tplc="DCDA2F70">
      <w:start w:val="1"/>
      <w:numFmt w:val="bullet"/>
      <w:lvlText w:val=""/>
      <w:lvlJc w:val="left"/>
      <w:pPr>
        <w:ind w:left="2160" w:hanging="360"/>
      </w:pPr>
      <w:rPr>
        <w:rFonts w:ascii="Wingdings" w:hAnsi="Wingdings" w:hint="default"/>
      </w:rPr>
    </w:lvl>
    <w:lvl w:ilvl="3" w:tplc="23CCB66C">
      <w:start w:val="1"/>
      <w:numFmt w:val="bullet"/>
      <w:lvlText w:val=""/>
      <w:lvlJc w:val="left"/>
      <w:pPr>
        <w:ind w:left="2880" w:hanging="360"/>
      </w:pPr>
      <w:rPr>
        <w:rFonts w:ascii="Symbol" w:hAnsi="Symbol" w:hint="default"/>
      </w:rPr>
    </w:lvl>
    <w:lvl w:ilvl="4" w:tplc="CC56810A">
      <w:start w:val="1"/>
      <w:numFmt w:val="bullet"/>
      <w:lvlText w:val="o"/>
      <w:lvlJc w:val="left"/>
      <w:pPr>
        <w:ind w:left="3600" w:hanging="360"/>
      </w:pPr>
      <w:rPr>
        <w:rFonts w:ascii="Courier New" w:hAnsi="Courier New" w:hint="default"/>
      </w:rPr>
    </w:lvl>
    <w:lvl w:ilvl="5" w:tplc="DC5C44BE">
      <w:start w:val="1"/>
      <w:numFmt w:val="bullet"/>
      <w:lvlText w:val=""/>
      <w:lvlJc w:val="left"/>
      <w:pPr>
        <w:ind w:left="4320" w:hanging="360"/>
      </w:pPr>
      <w:rPr>
        <w:rFonts w:ascii="Wingdings" w:hAnsi="Wingdings" w:hint="default"/>
      </w:rPr>
    </w:lvl>
    <w:lvl w:ilvl="6" w:tplc="7C20722E">
      <w:start w:val="1"/>
      <w:numFmt w:val="bullet"/>
      <w:lvlText w:val=""/>
      <w:lvlJc w:val="left"/>
      <w:pPr>
        <w:ind w:left="5040" w:hanging="360"/>
      </w:pPr>
      <w:rPr>
        <w:rFonts w:ascii="Symbol" w:hAnsi="Symbol" w:hint="default"/>
      </w:rPr>
    </w:lvl>
    <w:lvl w:ilvl="7" w:tplc="DE6A280C">
      <w:start w:val="1"/>
      <w:numFmt w:val="bullet"/>
      <w:lvlText w:val="o"/>
      <w:lvlJc w:val="left"/>
      <w:pPr>
        <w:ind w:left="5760" w:hanging="360"/>
      </w:pPr>
      <w:rPr>
        <w:rFonts w:ascii="Courier New" w:hAnsi="Courier New" w:hint="default"/>
      </w:rPr>
    </w:lvl>
    <w:lvl w:ilvl="8" w:tplc="B4B4E092">
      <w:start w:val="1"/>
      <w:numFmt w:val="bullet"/>
      <w:lvlText w:val=""/>
      <w:lvlJc w:val="left"/>
      <w:pPr>
        <w:ind w:left="6480" w:hanging="360"/>
      </w:pPr>
      <w:rPr>
        <w:rFonts w:ascii="Wingdings" w:hAnsi="Wingdings" w:hint="default"/>
      </w:rPr>
    </w:lvl>
  </w:abstractNum>
  <w:abstractNum w:abstractNumId="11" w15:restartNumberingAfterBreak="0">
    <w:nsid w:val="2CCA598F"/>
    <w:multiLevelType w:val="hybridMultilevel"/>
    <w:tmpl w:val="9B3CF9B2"/>
    <w:lvl w:ilvl="0" w:tplc="E74023C6">
      <w:start w:val="1"/>
      <w:numFmt w:val="bullet"/>
      <w:lvlText w:val="·"/>
      <w:lvlJc w:val="left"/>
      <w:pPr>
        <w:ind w:left="720" w:hanging="360"/>
      </w:pPr>
      <w:rPr>
        <w:rFonts w:ascii="Symbol" w:hAnsi="Symbol" w:hint="default"/>
      </w:rPr>
    </w:lvl>
    <w:lvl w:ilvl="1" w:tplc="CE1C89B8">
      <w:start w:val="1"/>
      <w:numFmt w:val="bullet"/>
      <w:lvlText w:val="o"/>
      <w:lvlJc w:val="left"/>
      <w:pPr>
        <w:ind w:left="1440" w:hanging="360"/>
      </w:pPr>
      <w:rPr>
        <w:rFonts w:ascii="Courier New" w:hAnsi="Courier New" w:hint="default"/>
      </w:rPr>
    </w:lvl>
    <w:lvl w:ilvl="2" w:tplc="DAEC17E0">
      <w:start w:val="1"/>
      <w:numFmt w:val="bullet"/>
      <w:lvlText w:val=""/>
      <w:lvlJc w:val="left"/>
      <w:pPr>
        <w:ind w:left="2160" w:hanging="360"/>
      </w:pPr>
      <w:rPr>
        <w:rFonts w:ascii="Wingdings" w:hAnsi="Wingdings" w:hint="default"/>
      </w:rPr>
    </w:lvl>
    <w:lvl w:ilvl="3" w:tplc="5EBCAB56">
      <w:start w:val="1"/>
      <w:numFmt w:val="bullet"/>
      <w:lvlText w:val=""/>
      <w:lvlJc w:val="left"/>
      <w:pPr>
        <w:ind w:left="2880" w:hanging="360"/>
      </w:pPr>
      <w:rPr>
        <w:rFonts w:ascii="Symbol" w:hAnsi="Symbol" w:hint="default"/>
      </w:rPr>
    </w:lvl>
    <w:lvl w:ilvl="4" w:tplc="96502228">
      <w:start w:val="1"/>
      <w:numFmt w:val="bullet"/>
      <w:lvlText w:val="o"/>
      <w:lvlJc w:val="left"/>
      <w:pPr>
        <w:ind w:left="3600" w:hanging="360"/>
      </w:pPr>
      <w:rPr>
        <w:rFonts w:ascii="Courier New" w:hAnsi="Courier New" w:hint="default"/>
      </w:rPr>
    </w:lvl>
    <w:lvl w:ilvl="5" w:tplc="B8C6046A">
      <w:start w:val="1"/>
      <w:numFmt w:val="bullet"/>
      <w:lvlText w:val=""/>
      <w:lvlJc w:val="left"/>
      <w:pPr>
        <w:ind w:left="4320" w:hanging="360"/>
      </w:pPr>
      <w:rPr>
        <w:rFonts w:ascii="Wingdings" w:hAnsi="Wingdings" w:hint="default"/>
      </w:rPr>
    </w:lvl>
    <w:lvl w:ilvl="6" w:tplc="ACE41B16">
      <w:start w:val="1"/>
      <w:numFmt w:val="bullet"/>
      <w:lvlText w:val=""/>
      <w:lvlJc w:val="left"/>
      <w:pPr>
        <w:ind w:left="5040" w:hanging="360"/>
      </w:pPr>
      <w:rPr>
        <w:rFonts w:ascii="Symbol" w:hAnsi="Symbol" w:hint="default"/>
      </w:rPr>
    </w:lvl>
    <w:lvl w:ilvl="7" w:tplc="831A208E">
      <w:start w:val="1"/>
      <w:numFmt w:val="bullet"/>
      <w:lvlText w:val="o"/>
      <w:lvlJc w:val="left"/>
      <w:pPr>
        <w:ind w:left="5760" w:hanging="360"/>
      </w:pPr>
      <w:rPr>
        <w:rFonts w:ascii="Courier New" w:hAnsi="Courier New" w:hint="default"/>
      </w:rPr>
    </w:lvl>
    <w:lvl w:ilvl="8" w:tplc="50DEAEEA">
      <w:start w:val="1"/>
      <w:numFmt w:val="bullet"/>
      <w:lvlText w:val=""/>
      <w:lvlJc w:val="left"/>
      <w:pPr>
        <w:ind w:left="6480" w:hanging="360"/>
      </w:pPr>
      <w:rPr>
        <w:rFonts w:ascii="Wingdings" w:hAnsi="Wingdings" w:hint="default"/>
      </w:rPr>
    </w:lvl>
  </w:abstractNum>
  <w:abstractNum w:abstractNumId="12" w15:restartNumberingAfterBreak="0">
    <w:nsid w:val="3211DD14"/>
    <w:multiLevelType w:val="hybridMultilevel"/>
    <w:tmpl w:val="770A3E34"/>
    <w:lvl w:ilvl="0" w:tplc="E3BC25AE">
      <w:start w:val="1"/>
      <w:numFmt w:val="bullet"/>
      <w:lvlText w:val="·"/>
      <w:lvlJc w:val="left"/>
      <w:pPr>
        <w:ind w:left="720" w:hanging="360"/>
      </w:pPr>
      <w:rPr>
        <w:rFonts w:ascii="Symbol" w:hAnsi="Symbol" w:hint="default"/>
      </w:rPr>
    </w:lvl>
    <w:lvl w:ilvl="1" w:tplc="DF3EDCEC">
      <w:start w:val="1"/>
      <w:numFmt w:val="bullet"/>
      <w:lvlText w:val="o"/>
      <w:lvlJc w:val="left"/>
      <w:pPr>
        <w:ind w:left="1440" w:hanging="360"/>
      </w:pPr>
      <w:rPr>
        <w:rFonts w:ascii="Courier New" w:hAnsi="Courier New" w:hint="default"/>
      </w:rPr>
    </w:lvl>
    <w:lvl w:ilvl="2" w:tplc="E56AAF66">
      <w:start w:val="1"/>
      <w:numFmt w:val="bullet"/>
      <w:lvlText w:val=""/>
      <w:lvlJc w:val="left"/>
      <w:pPr>
        <w:ind w:left="2160" w:hanging="360"/>
      </w:pPr>
      <w:rPr>
        <w:rFonts w:ascii="Wingdings" w:hAnsi="Wingdings" w:hint="default"/>
      </w:rPr>
    </w:lvl>
    <w:lvl w:ilvl="3" w:tplc="59AC78D0">
      <w:start w:val="1"/>
      <w:numFmt w:val="bullet"/>
      <w:lvlText w:val=""/>
      <w:lvlJc w:val="left"/>
      <w:pPr>
        <w:ind w:left="2880" w:hanging="360"/>
      </w:pPr>
      <w:rPr>
        <w:rFonts w:ascii="Symbol" w:hAnsi="Symbol" w:hint="default"/>
      </w:rPr>
    </w:lvl>
    <w:lvl w:ilvl="4" w:tplc="4406EA8E">
      <w:start w:val="1"/>
      <w:numFmt w:val="bullet"/>
      <w:lvlText w:val="o"/>
      <w:lvlJc w:val="left"/>
      <w:pPr>
        <w:ind w:left="3600" w:hanging="360"/>
      </w:pPr>
      <w:rPr>
        <w:rFonts w:ascii="Courier New" w:hAnsi="Courier New" w:hint="default"/>
      </w:rPr>
    </w:lvl>
    <w:lvl w:ilvl="5" w:tplc="05D05510">
      <w:start w:val="1"/>
      <w:numFmt w:val="bullet"/>
      <w:lvlText w:val=""/>
      <w:lvlJc w:val="left"/>
      <w:pPr>
        <w:ind w:left="4320" w:hanging="360"/>
      </w:pPr>
      <w:rPr>
        <w:rFonts w:ascii="Wingdings" w:hAnsi="Wingdings" w:hint="default"/>
      </w:rPr>
    </w:lvl>
    <w:lvl w:ilvl="6" w:tplc="9F90EF4C">
      <w:start w:val="1"/>
      <w:numFmt w:val="bullet"/>
      <w:lvlText w:val=""/>
      <w:lvlJc w:val="left"/>
      <w:pPr>
        <w:ind w:left="5040" w:hanging="360"/>
      </w:pPr>
      <w:rPr>
        <w:rFonts w:ascii="Symbol" w:hAnsi="Symbol" w:hint="default"/>
      </w:rPr>
    </w:lvl>
    <w:lvl w:ilvl="7" w:tplc="D33C5C40">
      <w:start w:val="1"/>
      <w:numFmt w:val="bullet"/>
      <w:lvlText w:val="o"/>
      <w:lvlJc w:val="left"/>
      <w:pPr>
        <w:ind w:left="5760" w:hanging="360"/>
      </w:pPr>
      <w:rPr>
        <w:rFonts w:ascii="Courier New" w:hAnsi="Courier New" w:hint="default"/>
      </w:rPr>
    </w:lvl>
    <w:lvl w:ilvl="8" w:tplc="8384C626">
      <w:start w:val="1"/>
      <w:numFmt w:val="bullet"/>
      <w:lvlText w:val=""/>
      <w:lvlJc w:val="left"/>
      <w:pPr>
        <w:ind w:left="6480" w:hanging="360"/>
      </w:pPr>
      <w:rPr>
        <w:rFonts w:ascii="Wingdings" w:hAnsi="Wingdings" w:hint="default"/>
      </w:rPr>
    </w:lvl>
  </w:abstractNum>
  <w:abstractNum w:abstractNumId="13" w15:restartNumberingAfterBreak="0">
    <w:nsid w:val="325EF561"/>
    <w:multiLevelType w:val="hybridMultilevel"/>
    <w:tmpl w:val="A1EC4608"/>
    <w:lvl w:ilvl="0" w:tplc="3632859E">
      <w:start w:val="1"/>
      <w:numFmt w:val="bullet"/>
      <w:lvlText w:val=""/>
      <w:lvlJc w:val="left"/>
      <w:pPr>
        <w:ind w:left="720" w:hanging="360"/>
      </w:pPr>
      <w:rPr>
        <w:rFonts w:ascii="Symbol" w:hAnsi="Symbol" w:hint="default"/>
      </w:rPr>
    </w:lvl>
    <w:lvl w:ilvl="1" w:tplc="857C6E86">
      <w:start w:val="1"/>
      <w:numFmt w:val="bullet"/>
      <w:lvlText w:val="o"/>
      <w:lvlJc w:val="left"/>
      <w:pPr>
        <w:ind w:left="1440" w:hanging="360"/>
      </w:pPr>
      <w:rPr>
        <w:rFonts w:ascii="&quot;Courier New&quot;" w:hAnsi="&quot;Courier New&quot;" w:hint="default"/>
      </w:rPr>
    </w:lvl>
    <w:lvl w:ilvl="2" w:tplc="8AFC6C1E">
      <w:start w:val="1"/>
      <w:numFmt w:val="bullet"/>
      <w:lvlText w:val=""/>
      <w:lvlJc w:val="left"/>
      <w:pPr>
        <w:ind w:left="2160" w:hanging="360"/>
      </w:pPr>
      <w:rPr>
        <w:rFonts w:ascii="Wingdings" w:hAnsi="Wingdings" w:hint="default"/>
      </w:rPr>
    </w:lvl>
    <w:lvl w:ilvl="3" w:tplc="37E4A9E4">
      <w:start w:val="1"/>
      <w:numFmt w:val="bullet"/>
      <w:lvlText w:val=""/>
      <w:lvlJc w:val="left"/>
      <w:pPr>
        <w:ind w:left="2880" w:hanging="360"/>
      </w:pPr>
      <w:rPr>
        <w:rFonts w:ascii="Symbol" w:hAnsi="Symbol" w:hint="default"/>
      </w:rPr>
    </w:lvl>
    <w:lvl w:ilvl="4" w:tplc="3D08C9B8">
      <w:start w:val="1"/>
      <w:numFmt w:val="bullet"/>
      <w:lvlText w:val="o"/>
      <w:lvlJc w:val="left"/>
      <w:pPr>
        <w:ind w:left="3600" w:hanging="360"/>
      </w:pPr>
      <w:rPr>
        <w:rFonts w:ascii="Courier New" w:hAnsi="Courier New" w:hint="default"/>
      </w:rPr>
    </w:lvl>
    <w:lvl w:ilvl="5" w:tplc="4F48F6D2">
      <w:start w:val="1"/>
      <w:numFmt w:val="bullet"/>
      <w:lvlText w:val=""/>
      <w:lvlJc w:val="left"/>
      <w:pPr>
        <w:ind w:left="4320" w:hanging="360"/>
      </w:pPr>
      <w:rPr>
        <w:rFonts w:ascii="Wingdings" w:hAnsi="Wingdings" w:hint="default"/>
      </w:rPr>
    </w:lvl>
    <w:lvl w:ilvl="6" w:tplc="61F6B2B0">
      <w:start w:val="1"/>
      <w:numFmt w:val="bullet"/>
      <w:lvlText w:val=""/>
      <w:lvlJc w:val="left"/>
      <w:pPr>
        <w:ind w:left="5040" w:hanging="360"/>
      </w:pPr>
      <w:rPr>
        <w:rFonts w:ascii="Symbol" w:hAnsi="Symbol" w:hint="default"/>
      </w:rPr>
    </w:lvl>
    <w:lvl w:ilvl="7" w:tplc="9C445218">
      <w:start w:val="1"/>
      <w:numFmt w:val="bullet"/>
      <w:lvlText w:val="o"/>
      <w:lvlJc w:val="left"/>
      <w:pPr>
        <w:ind w:left="5760" w:hanging="360"/>
      </w:pPr>
      <w:rPr>
        <w:rFonts w:ascii="Courier New" w:hAnsi="Courier New" w:hint="default"/>
      </w:rPr>
    </w:lvl>
    <w:lvl w:ilvl="8" w:tplc="E0E2BD5C">
      <w:start w:val="1"/>
      <w:numFmt w:val="bullet"/>
      <w:lvlText w:val=""/>
      <w:lvlJc w:val="left"/>
      <w:pPr>
        <w:ind w:left="6480" w:hanging="360"/>
      </w:pPr>
      <w:rPr>
        <w:rFonts w:ascii="Wingdings" w:hAnsi="Wingdings" w:hint="default"/>
      </w:rPr>
    </w:lvl>
  </w:abstractNum>
  <w:abstractNum w:abstractNumId="14" w15:restartNumberingAfterBreak="0">
    <w:nsid w:val="37035196"/>
    <w:multiLevelType w:val="hybridMultilevel"/>
    <w:tmpl w:val="BE069F46"/>
    <w:lvl w:ilvl="0" w:tplc="EBE08836">
      <w:start w:val="1"/>
      <w:numFmt w:val="bullet"/>
      <w:lvlText w:val="·"/>
      <w:lvlJc w:val="left"/>
      <w:pPr>
        <w:ind w:left="720" w:hanging="360"/>
      </w:pPr>
      <w:rPr>
        <w:rFonts w:ascii="Symbol" w:hAnsi="Symbol" w:hint="default"/>
      </w:rPr>
    </w:lvl>
    <w:lvl w:ilvl="1" w:tplc="094E6762">
      <w:start w:val="1"/>
      <w:numFmt w:val="bullet"/>
      <w:lvlText w:val="o"/>
      <w:lvlJc w:val="left"/>
      <w:pPr>
        <w:ind w:left="1440" w:hanging="360"/>
      </w:pPr>
      <w:rPr>
        <w:rFonts w:ascii="Courier New" w:hAnsi="Courier New" w:hint="default"/>
      </w:rPr>
    </w:lvl>
    <w:lvl w:ilvl="2" w:tplc="7DFE1B4E">
      <w:start w:val="1"/>
      <w:numFmt w:val="bullet"/>
      <w:lvlText w:val=""/>
      <w:lvlJc w:val="left"/>
      <w:pPr>
        <w:ind w:left="2160" w:hanging="360"/>
      </w:pPr>
      <w:rPr>
        <w:rFonts w:ascii="Wingdings" w:hAnsi="Wingdings" w:hint="default"/>
      </w:rPr>
    </w:lvl>
    <w:lvl w:ilvl="3" w:tplc="0910F2A8">
      <w:start w:val="1"/>
      <w:numFmt w:val="bullet"/>
      <w:lvlText w:val=""/>
      <w:lvlJc w:val="left"/>
      <w:pPr>
        <w:ind w:left="2880" w:hanging="360"/>
      </w:pPr>
      <w:rPr>
        <w:rFonts w:ascii="Symbol" w:hAnsi="Symbol" w:hint="default"/>
      </w:rPr>
    </w:lvl>
    <w:lvl w:ilvl="4" w:tplc="B9489A7C">
      <w:start w:val="1"/>
      <w:numFmt w:val="bullet"/>
      <w:lvlText w:val="o"/>
      <w:lvlJc w:val="left"/>
      <w:pPr>
        <w:ind w:left="3600" w:hanging="360"/>
      </w:pPr>
      <w:rPr>
        <w:rFonts w:ascii="Courier New" w:hAnsi="Courier New" w:hint="default"/>
      </w:rPr>
    </w:lvl>
    <w:lvl w:ilvl="5" w:tplc="273A5F4A">
      <w:start w:val="1"/>
      <w:numFmt w:val="bullet"/>
      <w:lvlText w:val=""/>
      <w:lvlJc w:val="left"/>
      <w:pPr>
        <w:ind w:left="4320" w:hanging="360"/>
      </w:pPr>
      <w:rPr>
        <w:rFonts w:ascii="Wingdings" w:hAnsi="Wingdings" w:hint="default"/>
      </w:rPr>
    </w:lvl>
    <w:lvl w:ilvl="6" w:tplc="F1A047CA">
      <w:start w:val="1"/>
      <w:numFmt w:val="bullet"/>
      <w:lvlText w:val=""/>
      <w:lvlJc w:val="left"/>
      <w:pPr>
        <w:ind w:left="5040" w:hanging="360"/>
      </w:pPr>
      <w:rPr>
        <w:rFonts w:ascii="Symbol" w:hAnsi="Symbol" w:hint="default"/>
      </w:rPr>
    </w:lvl>
    <w:lvl w:ilvl="7" w:tplc="A538E9BA">
      <w:start w:val="1"/>
      <w:numFmt w:val="bullet"/>
      <w:lvlText w:val="o"/>
      <w:lvlJc w:val="left"/>
      <w:pPr>
        <w:ind w:left="5760" w:hanging="360"/>
      </w:pPr>
      <w:rPr>
        <w:rFonts w:ascii="Courier New" w:hAnsi="Courier New" w:hint="default"/>
      </w:rPr>
    </w:lvl>
    <w:lvl w:ilvl="8" w:tplc="33523D88">
      <w:start w:val="1"/>
      <w:numFmt w:val="bullet"/>
      <w:lvlText w:val=""/>
      <w:lvlJc w:val="left"/>
      <w:pPr>
        <w:ind w:left="6480" w:hanging="360"/>
      </w:pPr>
      <w:rPr>
        <w:rFonts w:ascii="Wingdings" w:hAnsi="Wingdings" w:hint="default"/>
      </w:rPr>
    </w:lvl>
  </w:abstractNum>
  <w:abstractNum w:abstractNumId="15" w15:restartNumberingAfterBreak="0">
    <w:nsid w:val="3888B0F1"/>
    <w:multiLevelType w:val="hybridMultilevel"/>
    <w:tmpl w:val="1C3C84BE"/>
    <w:lvl w:ilvl="0" w:tplc="11E49D70">
      <w:start w:val="1"/>
      <w:numFmt w:val="bullet"/>
      <w:lvlText w:val=""/>
      <w:lvlJc w:val="left"/>
      <w:pPr>
        <w:ind w:left="720" w:hanging="360"/>
      </w:pPr>
      <w:rPr>
        <w:rFonts w:ascii="Symbol" w:hAnsi="Symbol" w:hint="default"/>
      </w:rPr>
    </w:lvl>
    <w:lvl w:ilvl="1" w:tplc="5C5A7D86">
      <w:start w:val="1"/>
      <w:numFmt w:val="bullet"/>
      <w:lvlText w:val="o"/>
      <w:lvlJc w:val="left"/>
      <w:pPr>
        <w:ind w:left="1440" w:hanging="360"/>
      </w:pPr>
      <w:rPr>
        <w:rFonts w:ascii="&quot;Courier New&quot;" w:hAnsi="&quot;Courier New&quot;" w:hint="default"/>
      </w:rPr>
    </w:lvl>
    <w:lvl w:ilvl="2" w:tplc="04FEDE40">
      <w:start w:val="1"/>
      <w:numFmt w:val="bullet"/>
      <w:lvlText w:val=""/>
      <w:lvlJc w:val="left"/>
      <w:pPr>
        <w:ind w:left="2160" w:hanging="360"/>
      </w:pPr>
      <w:rPr>
        <w:rFonts w:ascii="Wingdings" w:hAnsi="Wingdings" w:hint="default"/>
      </w:rPr>
    </w:lvl>
    <w:lvl w:ilvl="3" w:tplc="ECE6C840">
      <w:start w:val="1"/>
      <w:numFmt w:val="bullet"/>
      <w:lvlText w:val=""/>
      <w:lvlJc w:val="left"/>
      <w:pPr>
        <w:ind w:left="2880" w:hanging="360"/>
      </w:pPr>
      <w:rPr>
        <w:rFonts w:ascii="Symbol" w:hAnsi="Symbol" w:hint="default"/>
      </w:rPr>
    </w:lvl>
    <w:lvl w:ilvl="4" w:tplc="B1EC4C2E">
      <w:start w:val="1"/>
      <w:numFmt w:val="bullet"/>
      <w:lvlText w:val="o"/>
      <w:lvlJc w:val="left"/>
      <w:pPr>
        <w:ind w:left="3600" w:hanging="360"/>
      </w:pPr>
      <w:rPr>
        <w:rFonts w:ascii="Courier New" w:hAnsi="Courier New" w:hint="default"/>
      </w:rPr>
    </w:lvl>
    <w:lvl w:ilvl="5" w:tplc="E17E296C">
      <w:start w:val="1"/>
      <w:numFmt w:val="bullet"/>
      <w:lvlText w:val=""/>
      <w:lvlJc w:val="left"/>
      <w:pPr>
        <w:ind w:left="4320" w:hanging="360"/>
      </w:pPr>
      <w:rPr>
        <w:rFonts w:ascii="Wingdings" w:hAnsi="Wingdings" w:hint="default"/>
      </w:rPr>
    </w:lvl>
    <w:lvl w:ilvl="6" w:tplc="6512CCA8">
      <w:start w:val="1"/>
      <w:numFmt w:val="bullet"/>
      <w:lvlText w:val=""/>
      <w:lvlJc w:val="left"/>
      <w:pPr>
        <w:ind w:left="5040" w:hanging="360"/>
      </w:pPr>
      <w:rPr>
        <w:rFonts w:ascii="Symbol" w:hAnsi="Symbol" w:hint="default"/>
      </w:rPr>
    </w:lvl>
    <w:lvl w:ilvl="7" w:tplc="FA9492CC">
      <w:start w:val="1"/>
      <w:numFmt w:val="bullet"/>
      <w:lvlText w:val="o"/>
      <w:lvlJc w:val="left"/>
      <w:pPr>
        <w:ind w:left="5760" w:hanging="360"/>
      </w:pPr>
      <w:rPr>
        <w:rFonts w:ascii="Courier New" w:hAnsi="Courier New" w:hint="default"/>
      </w:rPr>
    </w:lvl>
    <w:lvl w:ilvl="8" w:tplc="37808592">
      <w:start w:val="1"/>
      <w:numFmt w:val="bullet"/>
      <w:lvlText w:val=""/>
      <w:lvlJc w:val="left"/>
      <w:pPr>
        <w:ind w:left="6480" w:hanging="360"/>
      </w:pPr>
      <w:rPr>
        <w:rFonts w:ascii="Wingdings" w:hAnsi="Wingdings" w:hint="default"/>
      </w:rPr>
    </w:lvl>
  </w:abstractNum>
  <w:abstractNum w:abstractNumId="16" w15:restartNumberingAfterBreak="0">
    <w:nsid w:val="3BB4EAEB"/>
    <w:multiLevelType w:val="hybridMultilevel"/>
    <w:tmpl w:val="085ACE56"/>
    <w:lvl w:ilvl="0" w:tplc="69DED6A2">
      <w:start w:val="1"/>
      <w:numFmt w:val="bullet"/>
      <w:lvlText w:val="·"/>
      <w:lvlJc w:val="left"/>
      <w:pPr>
        <w:ind w:left="720" w:hanging="360"/>
      </w:pPr>
      <w:rPr>
        <w:rFonts w:ascii="Symbol" w:hAnsi="Symbol" w:hint="default"/>
      </w:rPr>
    </w:lvl>
    <w:lvl w:ilvl="1" w:tplc="AB9E4C3E">
      <w:start w:val="1"/>
      <w:numFmt w:val="bullet"/>
      <w:lvlText w:val="o"/>
      <w:lvlJc w:val="left"/>
      <w:pPr>
        <w:ind w:left="1440" w:hanging="360"/>
      </w:pPr>
      <w:rPr>
        <w:rFonts w:ascii="Courier New" w:hAnsi="Courier New" w:hint="default"/>
      </w:rPr>
    </w:lvl>
    <w:lvl w:ilvl="2" w:tplc="696CC138">
      <w:start w:val="1"/>
      <w:numFmt w:val="bullet"/>
      <w:lvlText w:val=""/>
      <w:lvlJc w:val="left"/>
      <w:pPr>
        <w:ind w:left="2160" w:hanging="360"/>
      </w:pPr>
      <w:rPr>
        <w:rFonts w:ascii="Wingdings" w:hAnsi="Wingdings" w:hint="default"/>
      </w:rPr>
    </w:lvl>
    <w:lvl w:ilvl="3" w:tplc="01CE7788">
      <w:start w:val="1"/>
      <w:numFmt w:val="bullet"/>
      <w:lvlText w:val=""/>
      <w:lvlJc w:val="left"/>
      <w:pPr>
        <w:ind w:left="2880" w:hanging="360"/>
      </w:pPr>
      <w:rPr>
        <w:rFonts w:ascii="Symbol" w:hAnsi="Symbol" w:hint="default"/>
      </w:rPr>
    </w:lvl>
    <w:lvl w:ilvl="4" w:tplc="39328EDE">
      <w:start w:val="1"/>
      <w:numFmt w:val="bullet"/>
      <w:lvlText w:val="o"/>
      <w:lvlJc w:val="left"/>
      <w:pPr>
        <w:ind w:left="3600" w:hanging="360"/>
      </w:pPr>
      <w:rPr>
        <w:rFonts w:ascii="Courier New" w:hAnsi="Courier New" w:hint="default"/>
      </w:rPr>
    </w:lvl>
    <w:lvl w:ilvl="5" w:tplc="59F68544">
      <w:start w:val="1"/>
      <w:numFmt w:val="bullet"/>
      <w:lvlText w:val=""/>
      <w:lvlJc w:val="left"/>
      <w:pPr>
        <w:ind w:left="4320" w:hanging="360"/>
      </w:pPr>
      <w:rPr>
        <w:rFonts w:ascii="Wingdings" w:hAnsi="Wingdings" w:hint="default"/>
      </w:rPr>
    </w:lvl>
    <w:lvl w:ilvl="6" w:tplc="2432F0FA">
      <w:start w:val="1"/>
      <w:numFmt w:val="bullet"/>
      <w:lvlText w:val=""/>
      <w:lvlJc w:val="left"/>
      <w:pPr>
        <w:ind w:left="5040" w:hanging="360"/>
      </w:pPr>
      <w:rPr>
        <w:rFonts w:ascii="Symbol" w:hAnsi="Symbol" w:hint="default"/>
      </w:rPr>
    </w:lvl>
    <w:lvl w:ilvl="7" w:tplc="6240939C">
      <w:start w:val="1"/>
      <w:numFmt w:val="bullet"/>
      <w:lvlText w:val="o"/>
      <w:lvlJc w:val="left"/>
      <w:pPr>
        <w:ind w:left="5760" w:hanging="360"/>
      </w:pPr>
      <w:rPr>
        <w:rFonts w:ascii="Courier New" w:hAnsi="Courier New" w:hint="default"/>
      </w:rPr>
    </w:lvl>
    <w:lvl w:ilvl="8" w:tplc="4CE68884">
      <w:start w:val="1"/>
      <w:numFmt w:val="bullet"/>
      <w:lvlText w:val=""/>
      <w:lvlJc w:val="left"/>
      <w:pPr>
        <w:ind w:left="6480" w:hanging="360"/>
      </w:pPr>
      <w:rPr>
        <w:rFonts w:ascii="Wingdings" w:hAnsi="Wingdings" w:hint="default"/>
      </w:rPr>
    </w:lvl>
  </w:abstractNum>
  <w:abstractNum w:abstractNumId="17" w15:restartNumberingAfterBreak="0">
    <w:nsid w:val="42CD67D2"/>
    <w:multiLevelType w:val="hybridMultilevel"/>
    <w:tmpl w:val="F4C274E8"/>
    <w:lvl w:ilvl="0" w:tplc="61AC71AC">
      <w:start w:val="1"/>
      <w:numFmt w:val="bullet"/>
      <w:lvlText w:val="·"/>
      <w:lvlJc w:val="left"/>
      <w:pPr>
        <w:ind w:left="720" w:hanging="360"/>
      </w:pPr>
      <w:rPr>
        <w:rFonts w:ascii="Symbol" w:hAnsi="Symbol" w:hint="default"/>
      </w:rPr>
    </w:lvl>
    <w:lvl w:ilvl="1" w:tplc="5E3CB322">
      <w:start w:val="1"/>
      <w:numFmt w:val="bullet"/>
      <w:lvlText w:val="o"/>
      <w:lvlJc w:val="left"/>
      <w:pPr>
        <w:ind w:left="1440" w:hanging="360"/>
      </w:pPr>
      <w:rPr>
        <w:rFonts w:ascii="Courier New" w:hAnsi="Courier New" w:hint="default"/>
      </w:rPr>
    </w:lvl>
    <w:lvl w:ilvl="2" w:tplc="9E0A5810">
      <w:start w:val="1"/>
      <w:numFmt w:val="bullet"/>
      <w:lvlText w:val=""/>
      <w:lvlJc w:val="left"/>
      <w:pPr>
        <w:ind w:left="2160" w:hanging="360"/>
      </w:pPr>
      <w:rPr>
        <w:rFonts w:ascii="Wingdings" w:hAnsi="Wingdings" w:hint="default"/>
      </w:rPr>
    </w:lvl>
    <w:lvl w:ilvl="3" w:tplc="F65A6810">
      <w:start w:val="1"/>
      <w:numFmt w:val="bullet"/>
      <w:lvlText w:val=""/>
      <w:lvlJc w:val="left"/>
      <w:pPr>
        <w:ind w:left="2880" w:hanging="360"/>
      </w:pPr>
      <w:rPr>
        <w:rFonts w:ascii="Symbol" w:hAnsi="Symbol" w:hint="default"/>
      </w:rPr>
    </w:lvl>
    <w:lvl w:ilvl="4" w:tplc="B8F881A4">
      <w:start w:val="1"/>
      <w:numFmt w:val="bullet"/>
      <w:lvlText w:val="o"/>
      <w:lvlJc w:val="left"/>
      <w:pPr>
        <w:ind w:left="3600" w:hanging="360"/>
      </w:pPr>
      <w:rPr>
        <w:rFonts w:ascii="Courier New" w:hAnsi="Courier New" w:hint="default"/>
      </w:rPr>
    </w:lvl>
    <w:lvl w:ilvl="5" w:tplc="D0D65AD6">
      <w:start w:val="1"/>
      <w:numFmt w:val="bullet"/>
      <w:lvlText w:val=""/>
      <w:lvlJc w:val="left"/>
      <w:pPr>
        <w:ind w:left="4320" w:hanging="360"/>
      </w:pPr>
      <w:rPr>
        <w:rFonts w:ascii="Wingdings" w:hAnsi="Wingdings" w:hint="default"/>
      </w:rPr>
    </w:lvl>
    <w:lvl w:ilvl="6" w:tplc="1C02F826">
      <w:start w:val="1"/>
      <w:numFmt w:val="bullet"/>
      <w:lvlText w:val=""/>
      <w:lvlJc w:val="left"/>
      <w:pPr>
        <w:ind w:left="5040" w:hanging="360"/>
      </w:pPr>
      <w:rPr>
        <w:rFonts w:ascii="Symbol" w:hAnsi="Symbol" w:hint="default"/>
      </w:rPr>
    </w:lvl>
    <w:lvl w:ilvl="7" w:tplc="5AE2FDD4">
      <w:start w:val="1"/>
      <w:numFmt w:val="bullet"/>
      <w:lvlText w:val="o"/>
      <w:lvlJc w:val="left"/>
      <w:pPr>
        <w:ind w:left="5760" w:hanging="360"/>
      </w:pPr>
      <w:rPr>
        <w:rFonts w:ascii="Courier New" w:hAnsi="Courier New" w:hint="default"/>
      </w:rPr>
    </w:lvl>
    <w:lvl w:ilvl="8" w:tplc="7598A4F4">
      <w:start w:val="1"/>
      <w:numFmt w:val="bullet"/>
      <w:lvlText w:val=""/>
      <w:lvlJc w:val="left"/>
      <w:pPr>
        <w:ind w:left="6480" w:hanging="360"/>
      </w:pPr>
      <w:rPr>
        <w:rFonts w:ascii="Wingdings" w:hAnsi="Wingdings" w:hint="default"/>
      </w:rPr>
    </w:lvl>
  </w:abstractNum>
  <w:abstractNum w:abstractNumId="18" w15:restartNumberingAfterBreak="0">
    <w:nsid w:val="46AE54B2"/>
    <w:multiLevelType w:val="hybridMultilevel"/>
    <w:tmpl w:val="968877C6"/>
    <w:lvl w:ilvl="0" w:tplc="EF7AA20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EDD9C8"/>
    <w:multiLevelType w:val="hybridMultilevel"/>
    <w:tmpl w:val="22F0DB70"/>
    <w:lvl w:ilvl="0" w:tplc="18CCD002">
      <w:start w:val="1"/>
      <w:numFmt w:val="upperLetter"/>
      <w:lvlText w:val="%1."/>
      <w:lvlJc w:val="left"/>
      <w:pPr>
        <w:ind w:left="720" w:hanging="360"/>
      </w:pPr>
    </w:lvl>
    <w:lvl w:ilvl="1" w:tplc="6400AE34">
      <w:start w:val="1"/>
      <w:numFmt w:val="lowerLetter"/>
      <w:lvlText w:val="%2."/>
      <w:lvlJc w:val="left"/>
      <w:pPr>
        <w:ind w:left="1440" w:hanging="360"/>
      </w:pPr>
    </w:lvl>
    <w:lvl w:ilvl="2" w:tplc="9D5A1A9A">
      <w:start w:val="1"/>
      <w:numFmt w:val="lowerRoman"/>
      <w:lvlText w:val="%3."/>
      <w:lvlJc w:val="right"/>
      <w:pPr>
        <w:ind w:left="2160" w:hanging="180"/>
      </w:pPr>
    </w:lvl>
    <w:lvl w:ilvl="3" w:tplc="FE5CC578">
      <w:start w:val="1"/>
      <w:numFmt w:val="decimal"/>
      <w:lvlText w:val="%4."/>
      <w:lvlJc w:val="left"/>
      <w:pPr>
        <w:ind w:left="2880" w:hanging="360"/>
      </w:pPr>
    </w:lvl>
    <w:lvl w:ilvl="4" w:tplc="3E50DC38">
      <w:start w:val="1"/>
      <w:numFmt w:val="lowerLetter"/>
      <w:lvlText w:val="%5."/>
      <w:lvlJc w:val="left"/>
      <w:pPr>
        <w:ind w:left="3600" w:hanging="360"/>
      </w:pPr>
    </w:lvl>
    <w:lvl w:ilvl="5" w:tplc="DEB0AC2C">
      <w:start w:val="1"/>
      <w:numFmt w:val="lowerRoman"/>
      <w:lvlText w:val="%6."/>
      <w:lvlJc w:val="right"/>
      <w:pPr>
        <w:ind w:left="4320" w:hanging="180"/>
      </w:pPr>
    </w:lvl>
    <w:lvl w:ilvl="6" w:tplc="BB2032AA">
      <w:start w:val="1"/>
      <w:numFmt w:val="decimal"/>
      <w:lvlText w:val="%7."/>
      <w:lvlJc w:val="left"/>
      <w:pPr>
        <w:ind w:left="5040" w:hanging="360"/>
      </w:pPr>
    </w:lvl>
    <w:lvl w:ilvl="7" w:tplc="E97488EC">
      <w:start w:val="1"/>
      <w:numFmt w:val="lowerLetter"/>
      <w:lvlText w:val="%8."/>
      <w:lvlJc w:val="left"/>
      <w:pPr>
        <w:ind w:left="5760" w:hanging="360"/>
      </w:pPr>
    </w:lvl>
    <w:lvl w:ilvl="8" w:tplc="4E349D70">
      <w:start w:val="1"/>
      <w:numFmt w:val="lowerRoman"/>
      <w:lvlText w:val="%9."/>
      <w:lvlJc w:val="right"/>
      <w:pPr>
        <w:ind w:left="6480" w:hanging="180"/>
      </w:pPr>
    </w:lvl>
  </w:abstractNum>
  <w:abstractNum w:abstractNumId="20" w15:restartNumberingAfterBreak="0">
    <w:nsid w:val="509AE878"/>
    <w:multiLevelType w:val="hybridMultilevel"/>
    <w:tmpl w:val="4F4C7A46"/>
    <w:lvl w:ilvl="0" w:tplc="6F323F5C">
      <w:start w:val="1"/>
      <w:numFmt w:val="bullet"/>
      <w:lvlText w:val="·"/>
      <w:lvlJc w:val="left"/>
      <w:pPr>
        <w:ind w:left="720" w:hanging="360"/>
      </w:pPr>
      <w:rPr>
        <w:rFonts w:ascii="Symbol" w:hAnsi="Symbol" w:hint="default"/>
      </w:rPr>
    </w:lvl>
    <w:lvl w:ilvl="1" w:tplc="00645C34">
      <w:start w:val="1"/>
      <w:numFmt w:val="bullet"/>
      <w:lvlText w:val="o"/>
      <w:lvlJc w:val="left"/>
      <w:pPr>
        <w:ind w:left="1440" w:hanging="360"/>
      </w:pPr>
      <w:rPr>
        <w:rFonts w:ascii="Courier New" w:hAnsi="Courier New" w:hint="default"/>
      </w:rPr>
    </w:lvl>
    <w:lvl w:ilvl="2" w:tplc="BEECDCCA">
      <w:start w:val="1"/>
      <w:numFmt w:val="bullet"/>
      <w:lvlText w:val=""/>
      <w:lvlJc w:val="left"/>
      <w:pPr>
        <w:ind w:left="2160" w:hanging="360"/>
      </w:pPr>
      <w:rPr>
        <w:rFonts w:ascii="Wingdings" w:hAnsi="Wingdings" w:hint="default"/>
      </w:rPr>
    </w:lvl>
    <w:lvl w:ilvl="3" w:tplc="C94ABC10">
      <w:start w:val="1"/>
      <w:numFmt w:val="bullet"/>
      <w:lvlText w:val=""/>
      <w:lvlJc w:val="left"/>
      <w:pPr>
        <w:ind w:left="2880" w:hanging="360"/>
      </w:pPr>
      <w:rPr>
        <w:rFonts w:ascii="Symbol" w:hAnsi="Symbol" w:hint="default"/>
      </w:rPr>
    </w:lvl>
    <w:lvl w:ilvl="4" w:tplc="2A5C925A">
      <w:start w:val="1"/>
      <w:numFmt w:val="bullet"/>
      <w:lvlText w:val="o"/>
      <w:lvlJc w:val="left"/>
      <w:pPr>
        <w:ind w:left="3600" w:hanging="360"/>
      </w:pPr>
      <w:rPr>
        <w:rFonts w:ascii="Courier New" w:hAnsi="Courier New" w:hint="default"/>
      </w:rPr>
    </w:lvl>
    <w:lvl w:ilvl="5" w:tplc="22C8A90E">
      <w:start w:val="1"/>
      <w:numFmt w:val="bullet"/>
      <w:lvlText w:val=""/>
      <w:lvlJc w:val="left"/>
      <w:pPr>
        <w:ind w:left="4320" w:hanging="360"/>
      </w:pPr>
      <w:rPr>
        <w:rFonts w:ascii="Wingdings" w:hAnsi="Wingdings" w:hint="default"/>
      </w:rPr>
    </w:lvl>
    <w:lvl w:ilvl="6" w:tplc="305800AA">
      <w:start w:val="1"/>
      <w:numFmt w:val="bullet"/>
      <w:lvlText w:val=""/>
      <w:lvlJc w:val="left"/>
      <w:pPr>
        <w:ind w:left="5040" w:hanging="360"/>
      </w:pPr>
      <w:rPr>
        <w:rFonts w:ascii="Symbol" w:hAnsi="Symbol" w:hint="default"/>
      </w:rPr>
    </w:lvl>
    <w:lvl w:ilvl="7" w:tplc="EA52C88E">
      <w:start w:val="1"/>
      <w:numFmt w:val="bullet"/>
      <w:lvlText w:val="o"/>
      <w:lvlJc w:val="left"/>
      <w:pPr>
        <w:ind w:left="5760" w:hanging="360"/>
      </w:pPr>
      <w:rPr>
        <w:rFonts w:ascii="Courier New" w:hAnsi="Courier New" w:hint="default"/>
      </w:rPr>
    </w:lvl>
    <w:lvl w:ilvl="8" w:tplc="ADDEC526">
      <w:start w:val="1"/>
      <w:numFmt w:val="bullet"/>
      <w:lvlText w:val=""/>
      <w:lvlJc w:val="left"/>
      <w:pPr>
        <w:ind w:left="6480" w:hanging="360"/>
      </w:pPr>
      <w:rPr>
        <w:rFonts w:ascii="Wingdings" w:hAnsi="Wingdings" w:hint="default"/>
      </w:rPr>
    </w:lvl>
  </w:abstractNum>
  <w:abstractNum w:abstractNumId="21" w15:restartNumberingAfterBreak="0">
    <w:nsid w:val="533C7B6F"/>
    <w:multiLevelType w:val="hybridMultilevel"/>
    <w:tmpl w:val="4296C93C"/>
    <w:lvl w:ilvl="0" w:tplc="84E47F1A">
      <w:start w:val="1"/>
      <w:numFmt w:val="decimal"/>
      <w:lvlText w:val="%1)"/>
      <w:lvlJc w:val="left"/>
      <w:pPr>
        <w:ind w:left="1080" w:hanging="360"/>
      </w:pPr>
    </w:lvl>
    <w:lvl w:ilvl="1" w:tplc="676AAB8E">
      <w:start w:val="1"/>
      <w:numFmt w:val="decimal"/>
      <w:lvlText w:val="%2)"/>
      <w:lvlJc w:val="left"/>
      <w:pPr>
        <w:ind w:left="1080" w:hanging="360"/>
      </w:pPr>
    </w:lvl>
    <w:lvl w:ilvl="2" w:tplc="08AE64AA">
      <w:start w:val="1"/>
      <w:numFmt w:val="decimal"/>
      <w:lvlText w:val="%3)"/>
      <w:lvlJc w:val="left"/>
      <w:pPr>
        <w:ind w:left="1080" w:hanging="360"/>
      </w:pPr>
    </w:lvl>
    <w:lvl w:ilvl="3" w:tplc="5C081AFC">
      <w:start w:val="1"/>
      <w:numFmt w:val="decimal"/>
      <w:lvlText w:val="%4)"/>
      <w:lvlJc w:val="left"/>
      <w:pPr>
        <w:ind w:left="1080" w:hanging="360"/>
      </w:pPr>
    </w:lvl>
    <w:lvl w:ilvl="4" w:tplc="8500EB04">
      <w:start w:val="1"/>
      <w:numFmt w:val="decimal"/>
      <w:lvlText w:val="%5)"/>
      <w:lvlJc w:val="left"/>
      <w:pPr>
        <w:ind w:left="1080" w:hanging="360"/>
      </w:pPr>
    </w:lvl>
    <w:lvl w:ilvl="5" w:tplc="85A8E5F0">
      <w:start w:val="1"/>
      <w:numFmt w:val="decimal"/>
      <w:lvlText w:val="%6)"/>
      <w:lvlJc w:val="left"/>
      <w:pPr>
        <w:ind w:left="1080" w:hanging="360"/>
      </w:pPr>
    </w:lvl>
    <w:lvl w:ilvl="6" w:tplc="E4321884">
      <w:start w:val="1"/>
      <w:numFmt w:val="decimal"/>
      <w:lvlText w:val="%7)"/>
      <w:lvlJc w:val="left"/>
      <w:pPr>
        <w:ind w:left="1080" w:hanging="360"/>
      </w:pPr>
    </w:lvl>
    <w:lvl w:ilvl="7" w:tplc="FDAE903C">
      <w:start w:val="1"/>
      <w:numFmt w:val="decimal"/>
      <w:lvlText w:val="%8)"/>
      <w:lvlJc w:val="left"/>
      <w:pPr>
        <w:ind w:left="1080" w:hanging="360"/>
      </w:pPr>
    </w:lvl>
    <w:lvl w:ilvl="8" w:tplc="D65C07C4">
      <w:start w:val="1"/>
      <w:numFmt w:val="decimal"/>
      <w:lvlText w:val="%9)"/>
      <w:lvlJc w:val="left"/>
      <w:pPr>
        <w:ind w:left="1080" w:hanging="360"/>
      </w:pPr>
    </w:lvl>
  </w:abstractNum>
  <w:abstractNum w:abstractNumId="22" w15:restartNumberingAfterBreak="0">
    <w:nsid w:val="5811A0B2"/>
    <w:multiLevelType w:val="hybridMultilevel"/>
    <w:tmpl w:val="FFFFFFFF"/>
    <w:lvl w:ilvl="0" w:tplc="25267B9E">
      <w:start w:val="1"/>
      <w:numFmt w:val="bullet"/>
      <w:lvlText w:val=""/>
      <w:lvlJc w:val="left"/>
      <w:pPr>
        <w:ind w:left="720" w:hanging="360"/>
      </w:pPr>
      <w:rPr>
        <w:rFonts w:ascii="Symbol" w:hAnsi="Symbol" w:hint="default"/>
      </w:rPr>
    </w:lvl>
    <w:lvl w:ilvl="1" w:tplc="F5880BCA">
      <w:start w:val="1"/>
      <w:numFmt w:val="bullet"/>
      <w:lvlText w:val="o"/>
      <w:lvlJc w:val="left"/>
      <w:pPr>
        <w:ind w:left="1440" w:hanging="360"/>
      </w:pPr>
      <w:rPr>
        <w:rFonts w:ascii="Courier New" w:hAnsi="Courier New" w:hint="default"/>
      </w:rPr>
    </w:lvl>
    <w:lvl w:ilvl="2" w:tplc="AE7C59DE">
      <w:start w:val="1"/>
      <w:numFmt w:val="bullet"/>
      <w:lvlText w:val=""/>
      <w:lvlJc w:val="left"/>
      <w:pPr>
        <w:ind w:left="2160" w:hanging="360"/>
      </w:pPr>
      <w:rPr>
        <w:rFonts w:ascii="Wingdings" w:hAnsi="Wingdings" w:hint="default"/>
      </w:rPr>
    </w:lvl>
    <w:lvl w:ilvl="3" w:tplc="EDD6B9B0">
      <w:start w:val="1"/>
      <w:numFmt w:val="bullet"/>
      <w:lvlText w:val=""/>
      <w:lvlJc w:val="left"/>
      <w:pPr>
        <w:ind w:left="2880" w:hanging="360"/>
      </w:pPr>
      <w:rPr>
        <w:rFonts w:ascii="Symbol" w:hAnsi="Symbol" w:hint="default"/>
      </w:rPr>
    </w:lvl>
    <w:lvl w:ilvl="4" w:tplc="426EC1CC">
      <w:start w:val="1"/>
      <w:numFmt w:val="bullet"/>
      <w:lvlText w:val="o"/>
      <w:lvlJc w:val="left"/>
      <w:pPr>
        <w:ind w:left="3600" w:hanging="360"/>
      </w:pPr>
      <w:rPr>
        <w:rFonts w:ascii="Courier New" w:hAnsi="Courier New" w:hint="default"/>
      </w:rPr>
    </w:lvl>
    <w:lvl w:ilvl="5" w:tplc="2F20300C">
      <w:start w:val="1"/>
      <w:numFmt w:val="bullet"/>
      <w:lvlText w:val=""/>
      <w:lvlJc w:val="left"/>
      <w:pPr>
        <w:ind w:left="4320" w:hanging="360"/>
      </w:pPr>
      <w:rPr>
        <w:rFonts w:ascii="Wingdings" w:hAnsi="Wingdings" w:hint="default"/>
      </w:rPr>
    </w:lvl>
    <w:lvl w:ilvl="6" w:tplc="A0FE971E">
      <w:start w:val="1"/>
      <w:numFmt w:val="bullet"/>
      <w:lvlText w:val=""/>
      <w:lvlJc w:val="left"/>
      <w:pPr>
        <w:ind w:left="5040" w:hanging="360"/>
      </w:pPr>
      <w:rPr>
        <w:rFonts w:ascii="Symbol" w:hAnsi="Symbol" w:hint="default"/>
      </w:rPr>
    </w:lvl>
    <w:lvl w:ilvl="7" w:tplc="022C9640">
      <w:start w:val="1"/>
      <w:numFmt w:val="bullet"/>
      <w:lvlText w:val="o"/>
      <w:lvlJc w:val="left"/>
      <w:pPr>
        <w:ind w:left="5760" w:hanging="360"/>
      </w:pPr>
      <w:rPr>
        <w:rFonts w:ascii="Courier New" w:hAnsi="Courier New" w:hint="default"/>
      </w:rPr>
    </w:lvl>
    <w:lvl w:ilvl="8" w:tplc="B2CE2CB8">
      <w:start w:val="1"/>
      <w:numFmt w:val="bullet"/>
      <w:lvlText w:val=""/>
      <w:lvlJc w:val="left"/>
      <w:pPr>
        <w:ind w:left="6480" w:hanging="360"/>
      </w:pPr>
      <w:rPr>
        <w:rFonts w:ascii="Wingdings" w:hAnsi="Wingdings" w:hint="default"/>
      </w:rPr>
    </w:lvl>
  </w:abstractNum>
  <w:abstractNum w:abstractNumId="23" w15:restartNumberingAfterBreak="0">
    <w:nsid w:val="5856EA20"/>
    <w:multiLevelType w:val="hybridMultilevel"/>
    <w:tmpl w:val="E132FDA4"/>
    <w:lvl w:ilvl="0" w:tplc="286E75EE">
      <w:start w:val="1"/>
      <w:numFmt w:val="bullet"/>
      <w:lvlText w:val=""/>
      <w:lvlJc w:val="left"/>
      <w:pPr>
        <w:ind w:left="720" w:hanging="360"/>
      </w:pPr>
      <w:rPr>
        <w:rFonts w:ascii="Symbol" w:hAnsi="Symbol" w:hint="default"/>
      </w:rPr>
    </w:lvl>
    <w:lvl w:ilvl="1" w:tplc="B3426BB6">
      <w:start w:val="1"/>
      <w:numFmt w:val="bullet"/>
      <w:lvlText w:val="o"/>
      <w:lvlJc w:val="left"/>
      <w:pPr>
        <w:ind w:left="1440" w:hanging="360"/>
      </w:pPr>
      <w:rPr>
        <w:rFonts w:ascii="&quot;Courier New&quot;" w:hAnsi="&quot;Courier New&quot;" w:hint="default"/>
      </w:rPr>
    </w:lvl>
    <w:lvl w:ilvl="2" w:tplc="C0EEF820">
      <w:start w:val="1"/>
      <w:numFmt w:val="bullet"/>
      <w:lvlText w:val=""/>
      <w:lvlJc w:val="left"/>
      <w:pPr>
        <w:ind w:left="2160" w:hanging="360"/>
      </w:pPr>
      <w:rPr>
        <w:rFonts w:ascii="Wingdings" w:hAnsi="Wingdings" w:hint="default"/>
      </w:rPr>
    </w:lvl>
    <w:lvl w:ilvl="3" w:tplc="A2A8B61C">
      <w:start w:val="1"/>
      <w:numFmt w:val="bullet"/>
      <w:lvlText w:val=""/>
      <w:lvlJc w:val="left"/>
      <w:pPr>
        <w:ind w:left="2880" w:hanging="360"/>
      </w:pPr>
      <w:rPr>
        <w:rFonts w:ascii="Symbol" w:hAnsi="Symbol" w:hint="default"/>
      </w:rPr>
    </w:lvl>
    <w:lvl w:ilvl="4" w:tplc="D2C2FA80">
      <w:start w:val="1"/>
      <w:numFmt w:val="bullet"/>
      <w:lvlText w:val="o"/>
      <w:lvlJc w:val="left"/>
      <w:pPr>
        <w:ind w:left="3600" w:hanging="360"/>
      </w:pPr>
      <w:rPr>
        <w:rFonts w:ascii="Courier New" w:hAnsi="Courier New" w:hint="default"/>
      </w:rPr>
    </w:lvl>
    <w:lvl w:ilvl="5" w:tplc="C8CE2720">
      <w:start w:val="1"/>
      <w:numFmt w:val="bullet"/>
      <w:lvlText w:val=""/>
      <w:lvlJc w:val="left"/>
      <w:pPr>
        <w:ind w:left="4320" w:hanging="360"/>
      </w:pPr>
      <w:rPr>
        <w:rFonts w:ascii="Wingdings" w:hAnsi="Wingdings" w:hint="default"/>
      </w:rPr>
    </w:lvl>
    <w:lvl w:ilvl="6" w:tplc="6BD89736">
      <w:start w:val="1"/>
      <w:numFmt w:val="bullet"/>
      <w:lvlText w:val=""/>
      <w:lvlJc w:val="left"/>
      <w:pPr>
        <w:ind w:left="5040" w:hanging="360"/>
      </w:pPr>
      <w:rPr>
        <w:rFonts w:ascii="Symbol" w:hAnsi="Symbol" w:hint="default"/>
      </w:rPr>
    </w:lvl>
    <w:lvl w:ilvl="7" w:tplc="7EA064AC">
      <w:start w:val="1"/>
      <w:numFmt w:val="bullet"/>
      <w:lvlText w:val="o"/>
      <w:lvlJc w:val="left"/>
      <w:pPr>
        <w:ind w:left="5760" w:hanging="360"/>
      </w:pPr>
      <w:rPr>
        <w:rFonts w:ascii="Courier New" w:hAnsi="Courier New" w:hint="default"/>
      </w:rPr>
    </w:lvl>
    <w:lvl w:ilvl="8" w:tplc="73C83CBE">
      <w:start w:val="1"/>
      <w:numFmt w:val="bullet"/>
      <w:lvlText w:val=""/>
      <w:lvlJc w:val="left"/>
      <w:pPr>
        <w:ind w:left="6480" w:hanging="360"/>
      </w:pPr>
      <w:rPr>
        <w:rFonts w:ascii="Wingdings" w:hAnsi="Wingdings" w:hint="default"/>
      </w:rPr>
    </w:lvl>
  </w:abstractNum>
  <w:abstractNum w:abstractNumId="24" w15:restartNumberingAfterBreak="0">
    <w:nsid w:val="59FB34EA"/>
    <w:multiLevelType w:val="hybridMultilevel"/>
    <w:tmpl w:val="8E721844"/>
    <w:lvl w:ilvl="0" w:tplc="BC16445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160B11"/>
    <w:multiLevelType w:val="hybridMultilevel"/>
    <w:tmpl w:val="E25C8768"/>
    <w:lvl w:ilvl="0" w:tplc="39A49CCE">
      <w:start w:val="4"/>
      <w:numFmt w:val="upperLetter"/>
      <w:lvlText w:val="%1."/>
      <w:lvlJc w:val="left"/>
      <w:pPr>
        <w:ind w:left="720" w:hanging="360"/>
      </w:pPr>
    </w:lvl>
    <w:lvl w:ilvl="1" w:tplc="F1225F12">
      <w:start w:val="1"/>
      <w:numFmt w:val="lowerLetter"/>
      <w:lvlText w:val="%2."/>
      <w:lvlJc w:val="left"/>
      <w:pPr>
        <w:ind w:left="1440" w:hanging="360"/>
      </w:pPr>
    </w:lvl>
    <w:lvl w:ilvl="2" w:tplc="A42CA50E">
      <w:start w:val="1"/>
      <w:numFmt w:val="lowerRoman"/>
      <w:lvlText w:val="%3."/>
      <w:lvlJc w:val="right"/>
      <w:pPr>
        <w:ind w:left="2160" w:hanging="180"/>
      </w:pPr>
    </w:lvl>
    <w:lvl w:ilvl="3" w:tplc="A43C2834">
      <w:start w:val="1"/>
      <w:numFmt w:val="decimal"/>
      <w:lvlText w:val="%4."/>
      <w:lvlJc w:val="left"/>
      <w:pPr>
        <w:ind w:left="2880" w:hanging="360"/>
      </w:pPr>
    </w:lvl>
    <w:lvl w:ilvl="4" w:tplc="B70CD26C">
      <w:start w:val="1"/>
      <w:numFmt w:val="lowerLetter"/>
      <w:lvlText w:val="%5."/>
      <w:lvlJc w:val="left"/>
      <w:pPr>
        <w:ind w:left="3600" w:hanging="360"/>
      </w:pPr>
    </w:lvl>
    <w:lvl w:ilvl="5" w:tplc="F8EAC93E">
      <w:start w:val="1"/>
      <w:numFmt w:val="lowerRoman"/>
      <w:lvlText w:val="%6."/>
      <w:lvlJc w:val="right"/>
      <w:pPr>
        <w:ind w:left="4320" w:hanging="180"/>
      </w:pPr>
    </w:lvl>
    <w:lvl w:ilvl="6" w:tplc="FCA288A0">
      <w:start w:val="1"/>
      <w:numFmt w:val="decimal"/>
      <w:lvlText w:val="%7."/>
      <w:lvlJc w:val="left"/>
      <w:pPr>
        <w:ind w:left="5040" w:hanging="360"/>
      </w:pPr>
    </w:lvl>
    <w:lvl w:ilvl="7" w:tplc="F0C2EE0E">
      <w:start w:val="1"/>
      <w:numFmt w:val="lowerLetter"/>
      <w:lvlText w:val="%8."/>
      <w:lvlJc w:val="left"/>
      <w:pPr>
        <w:ind w:left="5760" w:hanging="360"/>
      </w:pPr>
    </w:lvl>
    <w:lvl w:ilvl="8" w:tplc="113A4CA8">
      <w:start w:val="1"/>
      <w:numFmt w:val="lowerRoman"/>
      <w:lvlText w:val="%9."/>
      <w:lvlJc w:val="right"/>
      <w:pPr>
        <w:ind w:left="6480" w:hanging="180"/>
      </w:pPr>
    </w:lvl>
  </w:abstractNum>
  <w:abstractNum w:abstractNumId="26" w15:restartNumberingAfterBreak="0">
    <w:nsid w:val="63C55238"/>
    <w:multiLevelType w:val="hybridMultilevel"/>
    <w:tmpl w:val="FB220094"/>
    <w:lvl w:ilvl="0" w:tplc="D1BCD5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DA0856"/>
    <w:multiLevelType w:val="hybridMultilevel"/>
    <w:tmpl w:val="4E06A38C"/>
    <w:lvl w:ilvl="0" w:tplc="A95EFF1C">
      <w:start w:val="1"/>
      <w:numFmt w:val="bullet"/>
      <w:lvlText w:val=""/>
      <w:lvlJc w:val="left"/>
      <w:pPr>
        <w:ind w:left="720" w:hanging="360"/>
      </w:pPr>
      <w:rPr>
        <w:rFonts w:ascii="Wingdings" w:hAnsi="Wingdings" w:hint="default"/>
      </w:rPr>
    </w:lvl>
    <w:lvl w:ilvl="1" w:tplc="7AC8ADA4">
      <w:start w:val="1"/>
      <w:numFmt w:val="bullet"/>
      <w:lvlText w:val="o"/>
      <w:lvlJc w:val="left"/>
      <w:pPr>
        <w:ind w:left="1440" w:hanging="360"/>
      </w:pPr>
      <w:rPr>
        <w:rFonts w:ascii="Courier New" w:hAnsi="Courier New" w:hint="default"/>
      </w:rPr>
    </w:lvl>
    <w:lvl w:ilvl="2" w:tplc="E3A61820">
      <w:start w:val="1"/>
      <w:numFmt w:val="bullet"/>
      <w:lvlText w:val=""/>
      <w:lvlJc w:val="left"/>
      <w:pPr>
        <w:ind w:left="2160" w:hanging="360"/>
      </w:pPr>
      <w:rPr>
        <w:rFonts w:ascii="Wingdings" w:hAnsi="Wingdings" w:hint="default"/>
      </w:rPr>
    </w:lvl>
    <w:lvl w:ilvl="3" w:tplc="CC268478">
      <w:start w:val="1"/>
      <w:numFmt w:val="bullet"/>
      <w:lvlText w:val=""/>
      <w:lvlJc w:val="left"/>
      <w:pPr>
        <w:ind w:left="2880" w:hanging="360"/>
      </w:pPr>
      <w:rPr>
        <w:rFonts w:ascii="Symbol" w:hAnsi="Symbol" w:hint="default"/>
      </w:rPr>
    </w:lvl>
    <w:lvl w:ilvl="4" w:tplc="51B6375E">
      <w:start w:val="1"/>
      <w:numFmt w:val="bullet"/>
      <w:lvlText w:val="o"/>
      <w:lvlJc w:val="left"/>
      <w:pPr>
        <w:ind w:left="3600" w:hanging="360"/>
      </w:pPr>
      <w:rPr>
        <w:rFonts w:ascii="Courier New" w:hAnsi="Courier New" w:hint="default"/>
      </w:rPr>
    </w:lvl>
    <w:lvl w:ilvl="5" w:tplc="9B6CEB0A">
      <w:start w:val="1"/>
      <w:numFmt w:val="bullet"/>
      <w:lvlText w:val=""/>
      <w:lvlJc w:val="left"/>
      <w:pPr>
        <w:ind w:left="4320" w:hanging="360"/>
      </w:pPr>
      <w:rPr>
        <w:rFonts w:ascii="Wingdings" w:hAnsi="Wingdings" w:hint="default"/>
      </w:rPr>
    </w:lvl>
    <w:lvl w:ilvl="6" w:tplc="9BA6B4B2">
      <w:start w:val="1"/>
      <w:numFmt w:val="bullet"/>
      <w:lvlText w:val=""/>
      <w:lvlJc w:val="left"/>
      <w:pPr>
        <w:ind w:left="5040" w:hanging="360"/>
      </w:pPr>
      <w:rPr>
        <w:rFonts w:ascii="Symbol" w:hAnsi="Symbol" w:hint="default"/>
      </w:rPr>
    </w:lvl>
    <w:lvl w:ilvl="7" w:tplc="C2C21E6A">
      <w:start w:val="1"/>
      <w:numFmt w:val="bullet"/>
      <w:lvlText w:val="o"/>
      <w:lvlJc w:val="left"/>
      <w:pPr>
        <w:ind w:left="5760" w:hanging="360"/>
      </w:pPr>
      <w:rPr>
        <w:rFonts w:ascii="Courier New" w:hAnsi="Courier New" w:hint="default"/>
      </w:rPr>
    </w:lvl>
    <w:lvl w:ilvl="8" w:tplc="1D501056">
      <w:start w:val="1"/>
      <w:numFmt w:val="bullet"/>
      <w:lvlText w:val=""/>
      <w:lvlJc w:val="left"/>
      <w:pPr>
        <w:ind w:left="6480" w:hanging="360"/>
      </w:pPr>
      <w:rPr>
        <w:rFonts w:ascii="Wingdings" w:hAnsi="Wingdings" w:hint="default"/>
      </w:rPr>
    </w:lvl>
  </w:abstractNum>
  <w:abstractNum w:abstractNumId="28" w15:restartNumberingAfterBreak="0">
    <w:nsid w:val="6B86C45C"/>
    <w:multiLevelType w:val="hybridMultilevel"/>
    <w:tmpl w:val="CBCCFF76"/>
    <w:lvl w:ilvl="0" w:tplc="DB120572">
      <w:start w:val="1"/>
      <w:numFmt w:val="decimal"/>
      <w:lvlText w:val="%1."/>
      <w:lvlJc w:val="left"/>
      <w:pPr>
        <w:ind w:left="720" w:hanging="360"/>
      </w:pPr>
    </w:lvl>
    <w:lvl w:ilvl="1" w:tplc="56E4EC54">
      <w:start w:val="1"/>
      <w:numFmt w:val="lowerLetter"/>
      <w:lvlText w:val="%2."/>
      <w:lvlJc w:val="left"/>
      <w:pPr>
        <w:ind w:left="1440" w:hanging="360"/>
      </w:pPr>
    </w:lvl>
    <w:lvl w:ilvl="2" w:tplc="D42880F4">
      <w:start w:val="1"/>
      <w:numFmt w:val="lowerRoman"/>
      <w:lvlText w:val="%3."/>
      <w:lvlJc w:val="right"/>
      <w:pPr>
        <w:ind w:left="2160" w:hanging="180"/>
      </w:pPr>
    </w:lvl>
    <w:lvl w:ilvl="3" w:tplc="B6F45BA4">
      <w:start w:val="1"/>
      <w:numFmt w:val="decimal"/>
      <w:lvlText w:val="%4."/>
      <w:lvlJc w:val="left"/>
      <w:pPr>
        <w:ind w:left="2880" w:hanging="360"/>
      </w:pPr>
    </w:lvl>
    <w:lvl w:ilvl="4" w:tplc="2C7CF1B6">
      <w:start w:val="1"/>
      <w:numFmt w:val="lowerLetter"/>
      <w:lvlText w:val="%5."/>
      <w:lvlJc w:val="left"/>
      <w:pPr>
        <w:ind w:left="3600" w:hanging="360"/>
      </w:pPr>
    </w:lvl>
    <w:lvl w:ilvl="5" w:tplc="6B4EF9E4">
      <w:start w:val="1"/>
      <w:numFmt w:val="lowerRoman"/>
      <w:lvlText w:val="%6."/>
      <w:lvlJc w:val="right"/>
      <w:pPr>
        <w:ind w:left="4320" w:hanging="180"/>
      </w:pPr>
    </w:lvl>
    <w:lvl w:ilvl="6" w:tplc="575E0386">
      <w:start w:val="1"/>
      <w:numFmt w:val="decimal"/>
      <w:lvlText w:val="%7."/>
      <w:lvlJc w:val="left"/>
      <w:pPr>
        <w:ind w:left="5040" w:hanging="360"/>
      </w:pPr>
    </w:lvl>
    <w:lvl w:ilvl="7" w:tplc="79B6CD14">
      <w:start w:val="1"/>
      <w:numFmt w:val="lowerLetter"/>
      <w:lvlText w:val="%8."/>
      <w:lvlJc w:val="left"/>
      <w:pPr>
        <w:ind w:left="5760" w:hanging="360"/>
      </w:pPr>
    </w:lvl>
    <w:lvl w:ilvl="8" w:tplc="F712F548">
      <w:start w:val="1"/>
      <w:numFmt w:val="lowerRoman"/>
      <w:lvlText w:val="%9."/>
      <w:lvlJc w:val="right"/>
      <w:pPr>
        <w:ind w:left="6480" w:hanging="180"/>
      </w:pPr>
    </w:lvl>
  </w:abstractNum>
  <w:abstractNum w:abstractNumId="29" w15:restartNumberingAfterBreak="0">
    <w:nsid w:val="6C204B9D"/>
    <w:multiLevelType w:val="hybridMultilevel"/>
    <w:tmpl w:val="D34CC822"/>
    <w:lvl w:ilvl="0" w:tplc="61CC4238">
      <w:start w:val="1"/>
      <w:numFmt w:val="bullet"/>
      <w:lvlText w:val=""/>
      <w:lvlJc w:val="left"/>
      <w:pPr>
        <w:ind w:left="720" w:hanging="360"/>
      </w:pPr>
      <w:rPr>
        <w:rFonts w:ascii="Symbol" w:hAnsi="Symbol" w:hint="default"/>
      </w:rPr>
    </w:lvl>
    <w:lvl w:ilvl="1" w:tplc="C95C47A8">
      <w:start w:val="1"/>
      <w:numFmt w:val="bullet"/>
      <w:lvlText w:val="o"/>
      <w:lvlJc w:val="left"/>
      <w:pPr>
        <w:ind w:left="1440" w:hanging="360"/>
      </w:pPr>
      <w:rPr>
        <w:rFonts w:ascii="&quot;Courier New&quot;" w:hAnsi="&quot;Courier New&quot;" w:hint="default"/>
      </w:rPr>
    </w:lvl>
    <w:lvl w:ilvl="2" w:tplc="460491C4">
      <w:start w:val="1"/>
      <w:numFmt w:val="bullet"/>
      <w:lvlText w:val=""/>
      <w:lvlJc w:val="left"/>
      <w:pPr>
        <w:ind w:left="2160" w:hanging="360"/>
      </w:pPr>
      <w:rPr>
        <w:rFonts w:ascii="Wingdings" w:hAnsi="Wingdings" w:hint="default"/>
      </w:rPr>
    </w:lvl>
    <w:lvl w:ilvl="3" w:tplc="B3844364">
      <w:start w:val="1"/>
      <w:numFmt w:val="bullet"/>
      <w:lvlText w:val=""/>
      <w:lvlJc w:val="left"/>
      <w:pPr>
        <w:ind w:left="2880" w:hanging="360"/>
      </w:pPr>
      <w:rPr>
        <w:rFonts w:ascii="Symbol" w:hAnsi="Symbol" w:hint="default"/>
      </w:rPr>
    </w:lvl>
    <w:lvl w:ilvl="4" w:tplc="BE28BDD0">
      <w:start w:val="1"/>
      <w:numFmt w:val="bullet"/>
      <w:lvlText w:val="o"/>
      <w:lvlJc w:val="left"/>
      <w:pPr>
        <w:ind w:left="3600" w:hanging="360"/>
      </w:pPr>
      <w:rPr>
        <w:rFonts w:ascii="Courier New" w:hAnsi="Courier New" w:hint="default"/>
      </w:rPr>
    </w:lvl>
    <w:lvl w:ilvl="5" w:tplc="8126EC08">
      <w:start w:val="1"/>
      <w:numFmt w:val="bullet"/>
      <w:lvlText w:val=""/>
      <w:lvlJc w:val="left"/>
      <w:pPr>
        <w:ind w:left="4320" w:hanging="360"/>
      </w:pPr>
      <w:rPr>
        <w:rFonts w:ascii="Wingdings" w:hAnsi="Wingdings" w:hint="default"/>
      </w:rPr>
    </w:lvl>
    <w:lvl w:ilvl="6" w:tplc="A48E819E">
      <w:start w:val="1"/>
      <w:numFmt w:val="bullet"/>
      <w:lvlText w:val=""/>
      <w:lvlJc w:val="left"/>
      <w:pPr>
        <w:ind w:left="5040" w:hanging="360"/>
      </w:pPr>
      <w:rPr>
        <w:rFonts w:ascii="Symbol" w:hAnsi="Symbol" w:hint="default"/>
      </w:rPr>
    </w:lvl>
    <w:lvl w:ilvl="7" w:tplc="F022DAFE">
      <w:start w:val="1"/>
      <w:numFmt w:val="bullet"/>
      <w:lvlText w:val="o"/>
      <w:lvlJc w:val="left"/>
      <w:pPr>
        <w:ind w:left="5760" w:hanging="360"/>
      </w:pPr>
      <w:rPr>
        <w:rFonts w:ascii="Courier New" w:hAnsi="Courier New" w:hint="default"/>
      </w:rPr>
    </w:lvl>
    <w:lvl w:ilvl="8" w:tplc="FF96E5E0">
      <w:start w:val="1"/>
      <w:numFmt w:val="bullet"/>
      <w:lvlText w:val=""/>
      <w:lvlJc w:val="left"/>
      <w:pPr>
        <w:ind w:left="6480" w:hanging="360"/>
      </w:pPr>
      <w:rPr>
        <w:rFonts w:ascii="Wingdings" w:hAnsi="Wingdings" w:hint="default"/>
      </w:rPr>
    </w:lvl>
  </w:abstractNum>
  <w:abstractNum w:abstractNumId="30" w15:restartNumberingAfterBreak="0">
    <w:nsid w:val="6EC8F325"/>
    <w:multiLevelType w:val="hybridMultilevel"/>
    <w:tmpl w:val="75E07EB2"/>
    <w:lvl w:ilvl="0" w:tplc="EE9A2A3E">
      <w:start w:val="2"/>
      <w:numFmt w:val="upperLetter"/>
      <w:lvlText w:val="%1."/>
      <w:lvlJc w:val="left"/>
      <w:pPr>
        <w:ind w:left="720" w:hanging="360"/>
      </w:pPr>
    </w:lvl>
    <w:lvl w:ilvl="1" w:tplc="09BA5F38">
      <w:start w:val="1"/>
      <w:numFmt w:val="lowerLetter"/>
      <w:lvlText w:val="%2."/>
      <w:lvlJc w:val="left"/>
      <w:pPr>
        <w:ind w:left="1440" w:hanging="360"/>
      </w:pPr>
    </w:lvl>
    <w:lvl w:ilvl="2" w:tplc="7B968CEA">
      <w:start w:val="1"/>
      <w:numFmt w:val="lowerRoman"/>
      <w:lvlText w:val="%3."/>
      <w:lvlJc w:val="right"/>
      <w:pPr>
        <w:ind w:left="2160" w:hanging="180"/>
      </w:pPr>
    </w:lvl>
    <w:lvl w:ilvl="3" w:tplc="777AE6C4">
      <w:start w:val="1"/>
      <w:numFmt w:val="decimal"/>
      <w:lvlText w:val="%4."/>
      <w:lvlJc w:val="left"/>
      <w:pPr>
        <w:ind w:left="2880" w:hanging="360"/>
      </w:pPr>
    </w:lvl>
    <w:lvl w:ilvl="4" w:tplc="7556F798">
      <w:start w:val="1"/>
      <w:numFmt w:val="lowerLetter"/>
      <w:lvlText w:val="%5."/>
      <w:lvlJc w:val="left"/>
      <w:pPr>
        <w:ind w:left="3600" w:hanging="360"/>
      </w:pPr>
    </w:lvl>
    <w:lvl w:ilvl="5" w:tplc="4386DB6A">
      <w:start w:val="1"/>
      <w:numFmt w:val="lowerRoman"/>
      <w:lvlText w:val="%6."/>
      <w:lvlJc w:val="right"/>
      <w:pPr>
        <w:ind w:left="4320" w:hanging="180"/>
      </w:pPr>
    </w:lvl>
    <w:lvl w:ilvl="6" w:tplc="ED2A2AA2">
      <w:start w:val="1"/>
      <w:numFmt w:val="decimal"/>
      <w:lvlText w:val="%7."/>
      <w:lvlJc w:val="left"/>
      <w:pPr>
        <w:ind w:left="5040" w:hanging="360"/>
      </w:pPr>
    </w:lvl>
    <w:lvl w:ilvl="7" w:tplc="08564E94">
      <w:start w:val="1"/>
      <w:numFmt w:val="lowerLetter"/>
      <w:lvlText w:val="%8."/>
      <w:lvlJc w:val="left"/>
      <w:pPr>
        <w:ind w:left="5760" w:hanging="360"/>
      </w:pPr>
    </w:lvl>
    <w:lvl w:ilvl="8" w:tplc="0E5C4730">
      <w:start w:val="1"/>
      <w:numFmt w:val="lowerRoman"/>
      <w:lvlText w:val="%9."/>
      <w:lvlJc w:val="right"/>
      <w:pPr>
        <w:ind w:left="6480" w:hanging="180"/>
      </w:pPr>
    </w:lvl>
  </w:abstractNum>
  <w:abstractNum w:abstractNumId="31" w15:restartNumberingAfterBreak="0">
    <w:nsid w:val="6F903137"/>
    <w:multiLevelType w:val="hybridMultilevel"/>
    <w:tmpl w:val="95324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2EE262D"/>
    <w:multiLevelType w:val="hybridMultilevel"/>
    <w:tmpl w:val="FFFFFFFF"/>
    <w:lvl w:ilvl="0" w:tplc="965CF6E6">
      <w:start w:val="1"/>
      <w:numFmt w:val="decimal"/>
      <w:lvlText w:val="%1)"/>
      <w:lvlJc w:val="left"/>
      <w:pPr>
        <w:ind w:left="1800" w:hanging="360"/>
      </w:pPr>
    </w:lvl>
    <w:lvl w:ilvl="1" w:tplc="8D3EF3E2">
      <w:start w:val="1"/>
      <w:numFmt w:val="lowerLetter"/>
      <w:lvlText w:val="%2."/>
      <w:lvlJc w:val="left"/>
      <w:pPr>
        <w:ind w:left="2520" w:hanging="360"/>
      </w:pPr>
    </w:lvl>
    <w:lvl w:ilvl="2" w:tplc="CBD659DA">
      <w:start w:val="1"/>
      <w:numFmt w:val="lowerRoman"/>
      <w:lvlText w:val="%3."/>
      <w:lvlJc w:val="right"/>
      <w:pPr>
        <w:ind w:left="3240" w:hanging="180"/>
      </w:pPr>
    </w:lvl>
    <w:lvl w:ilvl="3" w:tplc="5884275E">
      <w:start w:val="1"/>
      <w:numFmt w:val="decimal"/>
      <w:lvlText w:val="%4."/>
      <w:lvlJc w:val="left"/>
      <w:pPr>
        <w:ind w:left="3960" w:hanging="360"/>
      </w:pPr>
    </w:lvl>
    <w:lvl w:ilvl="4" w:tplc="B23E7B6E">
      <w:start w:val="1"/>
      <w:numFmt w:val="lowerLetter"/>
      <w:lvlText w:val="%5."/>
      <w:lvlJc w:val="left"/>
      <w:pPr>
        <w:ind w:left="4680" w:hanging="360"/>
      </w:pPr>
    </w:lvl>
    <w:lvl w:ilvl="5" w:tplc="952EACA4">
      <w:start w:val="1"/>
      <w:numFmt w:val="lowerRoman"/>
      <w:lvlText w:val="%6."/>
      <w:lvlJc w:val="right"/>
      <w:pPr>
        <w:ind w:left="5400" w:hanging="180"/>
      </w:pPr>
    </w:lvl>
    <w:lvl w:ilvl="6" w:tplc="BF44076E">
      <w:start w:val="1"/>
      <w:numFmt w:val="decimal"/>
      <w:lvlText w:val="%7."/>
      <w:lvlJc w:val="left"/>
      <w:pPr>
        <w:ind w:left="6120" w:hanging="360"/>
      </w:pPr>
    </w:lvl>
    <w:lvl w:ilvl="7" w:tplc="84E6E288">
      <w:start w:val="1"/>
      <w:numFmt w:val="lowerLetter"/>
      <w:lvlText w:val="%8."/>
      <w:lvlJc w:val="left"/>
      <w:pPr>
        <w:ind w:left="6840" w:hanging="360"/>
      </w:pPr>
    </w:lvl>
    <w:lvl w:ilvl="8" w:tplc="37DECFE6">
      <w:start w:val="1"/>
      <w:numFmt w:val="lowerRoman"/>
      <w:lvlText w:val="%9."/>
      <w:lvlJc w:val="right"/>
      <w:pPr>
        <w:ind w:left="7560" w:hanging="180"/>
      </w:pPr>
    </w:lvl>
  </w:abstractNum>
  <w:abstractNum w:abstractNumId="33" w15:restartNumberingAfterBreak="0">
    <w:nsid w:val="7540584A"/>
    <w:multiLevelType w:val="hybridMultilevel"/>
    <w:tmpl w:val="38E8AB82"/>
    <w:lvl w:ilvl="0" w:tplc="2FDA3264">
      <w:start w:val="1"/>
      <w:numFmt w:val="bullet"/>
      <w:lvlText w:val=""/>
      <w:lvlJc w:val="left"/>
      <w:pPr>
        <w:ind w:left="720" w:hanging="360"/>
      </w:pPr>
      <w:rPr>
        <w:rFonts w:ascii="Symbol" w:hAnsi="Symbol" w:hint="default"/>
      </w:rPr>
    </w:lvl>
    <w:lvl w:ilvl="1" w:tplc="8A2C1FE2">
      <w:start w:val="1"/>
      <w:numFmt w:val="bullet"/>
      <w:lvlText w:val="o"/>
      <w:lvlJc w:val="left"/>
      <w:pPr>
        <w:ind w:left="1440" w:hanging="360"/>
      </w:pPr>
      <w:rPr>
        <w:rFonts w:ascii="&quot;Courier New&quot;" w:hAnsi="&quot;Courier New&quot;" w:hint="default"/>
      </w:rPr>
    </w:lvl>
    <w:lvl w:ilvl="2" w:tplc="8DAC6EFA">
      <w:start w:val="1"/>
      <w:numFmt w:val="bullet"/>
      <w:lvlText w:val=""/>
      <w:lvlJc w:val="left"/>
      <w:pPr>
        <w:ind w:left="2160" w:hanging="360"/>
      </w:pPr>
      <w:rPr>
        <w:rFonts w:ascii="Wingdings" w:hAnsi="Wingdings" w:hint="default"/>
      </w:rPr>
    </w:lvl>
    <w:lvl w:ilvl="3" w:tplc="07386DF0">
      <w:start w:val="1"/>
      <w:numFmt w:val="bullet"/>
      <w:lvlText w:val=""/>
      <w:lvlJc w:val="left"/>
      <w:pPr>
        <w:ind w:left="2880" w:hanging="360"/>
      </w:pPr>
      <w:rPr>
        <w:rFonts w:ascii="Symbol" w:hAnsi="Symbol" w:hint="default"/>
      </w:rPr>
    </w:lvl>
    <w:lvl w:ilvl="4" w:tplc="153E6102">
      <w:start w:val="1"/>
      <w:numFmt w:val="bullet"/>
      <w:lvlText w:val="o"/>
      <w:lvlJc w:val="left"/>
      <w:pPr>
        <w:ind w:left="3600" w:hanging="360"/>
      </w:pPr>
      <w:rPr>
        <w:rFonts w:ascii="Courier New" w:hAnsi="Courier New" w:hint="default"/>
      </w:rPr>
    </w:lvl>
    <w:lvl w:ilvl="5" w:tplc="DEC494D0">
      <w:start w:val="1"/>
      <w:numFmt w:val="bullet"/>
      <w:lvlText w:val=""/>
      <w:lvlJc w:val="left"/>
      <w:pPr>
        <w:ind w:left="4320" w:hanging="360"/>
      </w:pPr>
      <w:rPr>
        <w:rFonts w:ascii="Wingdings" w:hAnsi="Wingdings" w:hint="default"/>
      </w:rPr>
    </w:lvl>
    <w:lvl w:ilvl="6" w:tplc="9B407B72">
      <w:start w:val="1"/>
      <w:numFmt w:val="bullet"/>
      <w:lvlText w:val=""/>
      <w:lvlJc w:val="left"/>
      <w:pPr>
        <w:ind w:left="5040" w:hanging="360"/>
      </w:pPr>
      <w:rPr>
        <w:rFonts w:ascii="Symbol" w:hAnsi="Symbol" w:hint="default"/>
      </w:rPr>
    </w:lvl>
    <w:lvl w:ilvl="7" w:tplc="489E64F0">
      <w:start w:val="1"/>
      <w:numFmt w:val="bullet"/>
      <w:lvlText w:val="o"/>
      <w:lvlJc w:val="left"/>
      <w:pPr>
        <w:ind w:left="5760" w:hanging="360"/>
      </w:pPr>
      <w:rPr>
        <w:rFonts w:ascii="Courier New" w:hAnsi="Courier New" w:hint="default"/>
      </w:rPr>
    </w:lvl>
    <w:lvl w:ilvl="8" w:tplc="D3CE2A32">
      <w:start w:val="1"/>
      <w:numFmt w:val="bullet"/>
      <w:lvlText w:val=""/>
      <w:lvlJc w:val="left"/>
      <w:pPr>
        <w:ind w:left="6480" w:hanging="360"/>
      </w:pPr>
      <w:rPr>
        <w:rFonts w:ascii="Wingdings" w:hAnsi="Wingdings" w:hint="default"/>
      </w:rPr>
    </w:lvl>
  </w:abstractNum>
  <w:num w:numId="1" w16cid:durableId="1461531561">
    <w:abstractNumId w:val="27"/>
  </w:num>
  <w:num w:numId="2" w16cid:durableId="877745932">
    <w:abstractNumId w:val="20"/>
  </w:num>
  <w:num w:numId="3" w16cid:durableId="1999527613">
    <w:abstractNumId w:val="1"/>
  </w:num>
  <w:num w:numId="4" w16cid:durableId="1561985417">
    <w:abstractNumId w:val="14"/>
  </w:num>
  <w:num w:numId="5" w16cid:durableId="755631171">
    <w:abstractNumId w:val="16"/>
  </w:num>
  <w:num w:numId="6" w16cid:durableId="914709424">
    <w:abstractNumId w:val="10"/>
  </w:num>
  <w:num w:numId="7" w16cid:durableId="1437601380">
    <w:abstractNumId w:val="13"/>
  </w:num>
  <w:num w:numId="8" w16cid:durableId="1956788342">
    <w:abstractNumId w:val="15"/>
  </w:num>
  <w:num w:numId="9" w16cid:durableId="976498224">
    <w:abstractNumId w:val="3"/>
  </w:num>
  <w:num w:numId="10" w16cid:durableId="401223829">
    <w:abstractNumId w:val="29"/>
  </w:num>
  <w:num w:numId="11" w16cid:durableId="1469935932">
    <w:abstractNumId w:val="23"/>
  </w:num>
  <w:num w:numId="12" w16cid:durableId="287467647">
    <w:abstractNumId w:val="33"/>
  </w:num>
  <w:num w:numId="13" w16cid:durableId="1399329391">
    <w:abstractNumId w:val="12"/>
  </w:num>
  <w:num w:numId="14" w16cid:durableId="1715234337">
    <w:abstractNumId w:val="17"/>
  </w:num>
  <w:num w:numId="15" w16cid:durableId="733510494">
    <w:abstractNumId w:val="11"/>
  </w:num>
  <w:num w:numId="16" w16cid:durableId="1674793344">
    <w:abstractNumId w:val="8"/>
  </w:num>
  <w:num w:numId="17" w16cid:durableId="995109679">
    <w:abstractNumId w:val="22"/>
  </w:num>
  <w:num w:numId="18" w16cid:durableId="301466176">
    <w:abstractNumId w:val="4"/>
  </w:num>
  <w:num w:numId="19" w16cid:durableId="566695679">
    <w:abstractNumId w:val="26"/>
  </w:num>
  <w:num w:numId="20" w16cid:durableId="1560022005">
    <w:abstractNumId w:val="31"/>
  </w:num>
  <w:num w:numId="21" w16cid:durableId="227494259">
    <w:abstractNumId w:val="31"/>
  </w:num>
  <w:num w:numId="22" w16cid:durableId="2085446644">
    <w:abstractNumId w:val="24"/>
  </w:num>
  <w:num w:numId="23" w16cid:durableId="1506746822">
    <w:abstractNumId w:val="28"/>
  </w:num>
  <w:num w:numId="24" w16cid:durableId="507792799">
    <w:abstractNumId w:val="0"/>
  </w:num>
  <w:num w:numId="25" w16cid:durableId="634794717">
    <w:abstractNumId w:val="18"/>
  </w:num>
  <w:num w:numId="26" w16cid:durableId="884408825">
    <w:abstractNumId w:val="5"/>
  </w:num>
  <w:num w:numId="27" w16cid:durableId="1751078798">
    <w:abstractNumId w:val="25"/>
  </w:num>
  <w:num w:numId="28" w16cid:durableId="1894195862">
    <w:abstractNumId w:val="2"/>
  </w:num>
  <w:num w:numId="29" w16cid:durableId="448939236">
    <w:abstractNumId w:val="30"/>
  </w:num>
  <w:num w:numId="30" w16cid:durableId="1744908196">
    <w:abstractNumId w:val="19"/>
  </w:num>
  <w:num w:numId="31" w16cid:durableId="1033002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0551458">
    <w:abstractNumId w:val="9"/>
  </w:num>
  <w:num w:numId="33" w16cid:durableId="185752826">
    <w:abstractNumId w:val="7"/>
  </w:num>
  <w:num w:numId="34" w16cid:durableId="1556309798">
    <w:abstractNumId w:val="32"/>
  </w:num>
  <w:num w:numId="35" w16cid:durableId="310989590">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erts, Amity">
    <w15:presenceInfo w15:providerId="AD" w15:userId="S::aroberts06@hhcsystem.org::a62fb051-72bf-4fa5-a999-c7ce98fa93b8"/>
  </w15:person>
  <w15:person w15:author="Guest User">
    <w15:presenceInfo w15:providerId="AD" w15:userId="S::urn:spo:anon#56dd7bf8f9007d6f112091fd30c98112d3e96e9483df18ae8a96ddcb0a3127c3::"/>
  </w15:person>
  <w15:person w15:author="klmshier@yahoo.com">
    <w15:presenceInfo w15:providerId="AD" w15:userId="S::urn:spo:guest#klmshier@yahoo.com::"/>
  </w15:person>
  <w15:person w15:author="Kileen Shier">
    <w15:presenceInfo w15:providerId="Windows Live" w15:userId="43940107508aa59c"/>
  </w15:person>
  <w15:person w15:author="James Scott Parrott">
    <w15:presenceInfo w15:providerId="AD" w15:userId="S::parrotja@shp.rutgers.edu::0d55c068-83cb-4bbf-81cd-5b8040e07196"/>
  </w15:person>
  <w15:person w15:author="Nicole Jackson">
    <w15:presenceInfo w15:providerId="AD" w15:userId="S::njackson@asmusa.org::0eae5631-c31f-4df5-9590-a1adc8369883"/>
  </w15:person>
  <w15:person w15:author="James Parrott">
    <w15:presenceInfo w15:providerId="AD" w15:userId="S::parrotja@shp.rutgers.edu::0d55c068-83cb-4bbf-81cd-5b8040e071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10B"/>
    <w:rsid w:val="00002416"/>
    <w:rsid w:val="0000733E"/>
    <w:rsid w:val="000111F7"/>
    <w:rsid w:val="00012A29"/>
    <w:rsid w:val="000132F7"/>
    <w:rsid w:val="000166A9"/>
    <w:rsid w:val="0001683A"/>
    <w:rsid w:val="000172FB"/>
    <w:rsid w:val="00022F9B"/>
    <w:rsid w:val="00023B3A"/>
    <w:rsid w:val="0002525E"/>
    <w:rsid w:val="00026130"/>
    <w:rsid w:val="000261A9"/>
    <w:rsid w:val="00026A87"/>
    <w:rsid w:val="000276BD"/>
    <w:rsid w:val="00027A97"/>
    <w:rsid w:val="00027BFB"/>
    <w:rsid w:val="00030C97"/>
    <w:rsid w:val="000329F3"/>
    <w:rsid w:val="00033421"/>
    <w:rsid w:val="00035D40"/>
    <w:rsid w:val="0004073C"/>
    <w:rsid w:val="00041A2B"/>
    <w:rsid w:val="00043824"/>
    <w:rsid w:val="000473FD"/>
    <w:rsid w:val="00050E44"/>
    <w:rsid w:val="00055F32"/>
    <w:rsid w:val="00057DAA"/>
    <w:rsid w:val="000638C0"/>
    <w:rsid w:val="000650B7"/>
    <w:rsid w:val="00065253"/>
    <w:rsid w:val="00074CAA"/>
    <w:rsid w:val="00075355"/>
    <w:rsid w:val="00075B5A"/>
    <w:rsid w:val="0008181B"/>
    <w:rsid w:val="00083D96"/>
    <w:rsid w:val="00090181"/>
    <w:rsid w:val="00090576"/>
    <w:rsid w:val="0009187E"/>
    <w:rsid w:val="000940CA"/>
    <w:rsid w:val="00095089"/>
    <w:rsid w:val="000954D3"/>
    <w:rsid w:val="00095E8E"/>
    <w:rsid w:val="000A1663"/>
    <w:rsid w:val="000A4FA8"/>
    <w:rsid w:val="000A5A95"/>
    <w:rsid w:val="000A6DEA"/>
    <w:rsid w:val="000A71E8"/>
    <w:rsid w:val="000B29D7"/>
    <w:rsid w:val="000B596C"/>
    <w:rsid w:val="000B7196"/>
    <w:rsid w:val="000C1082"/>
    <w:rsid w:val="000C51D4"/>
    <w:rsid w:val="000C56F0"/>
    <w:rsid w:val="000D0116"/>
    <w:rsid w:val="000D156A"/>
    <w:rsid w:val="000D16D4"/>
    <w:rsid w:val="000D32E6"/>
    <w:rsid w:val="000D4171"/>
    <w:rsid w:val="000D5BD7"/>
    <w:rsid w:val="000D6F05"/>
    <w:rsid w:val="000E03B1"/>
    <w:rsid w:val="000E053C"/>
    <w:rsid w:val="000E150B"/>
    <w:rsid w:val="000E1964"/>
    <w:rsid w:val="000E2305"/>
    <w:rsid w:val="000E28E2"/>
    <w:rsid w:val="000E5FBC"/>
    <w:rsid w:val="000F02E9"/>
    <w:rsid w:val="000F0F85"/>
    <w:rsid w:val="000F1CA7"/>
    <w:rsid w:val="000F3C37"/>
    <w:rsid w:val="000F42C3"/>
    <w:rsid w:val="0010400B"/>
    <w:rsid w:val="0010498F"/>
    <w:rsid w:val="00106B25"/>
    <w:rsid w:val="00107FC0"/>
    <w:rsid w:val="0011495C"/>
    <w:rsid w:val="00115B50"/>
    <w:rsid w:val="00117D92"/>
    <w:rsid w:val="001205EC"/>
    <w:rsid w:val="00120A57"/>
    <w:rsid w:val="00122404"/>
    <w:rsid w:val="00122921"/>
    <w:rsid w:val="0012323F"/>
    <w:rsid w:val="001237CA"/>
    <w:rsid w:val="00123CFF"/>
    <w:rsid w:val="001248C8"/>
    <w:rsid w:val="00127473"/>
    <w:rsid w:val="001275DE"/>
    <w:rsid w:val="00127A5A"/>
    <w:rsid w:val="0013096D"/>
    <w:rsid w:val="00131355"/>
    <w:rsid w:val="001347A2"/>
    <w:rsid w:val="00134BE6"/>
    <w:rsid w:val="0013538F"/>
    <w:rsid w:val="00135C56"/>
    <w:rsid w:val="001463CC"/>
    <w:rsid w:val="00146CFC"/>
    <w:rsid w:val="001472BB"/>
    <w:rsid w:val="00147AAE"/>
    <w:rsid w:val="00153285"/>
    <w:rsid w:val="0015367D"/>
    <w:rsid w:val="001540DB"/>
    <w:rsid w:val="0015456D"/>
    <w:rsid w:val="0015482A"/>
    <w:rsid w:val="00154FED"/>
    <w:rsid w:val="00155E01"/>
    <w:rsid w:val="001637DD"/>
    <w:rsid w:val="001643DC"/>
    <w:rsid w:val="001653D3"/>
    <w:rsid w:val="00167670"/>
    <w:rsid w:val="0017075B"/>
    <w:rsid w:val="0017102C"/>
    <w:rsid w:val="001737D8"/>
    <w:rsid w:val="00174DC2"/>
    <w:rsid w:val="001753AF"/>
    <w:rsid w:val="00177582"/>
    <w:rsid w:val="001810E6"/>
    <w:rsid w:val="00181FE0"/>
    <w:rsid w:val="001846A5"/>
    <w:rsid w:val="00187756"/>
    <w:rsid w:val="00190F1A"/>
    <w:rsid w:val="00191585"/>
    <w:rsid w:val="001A0D2E"/>
    <w:rsid w:val="001A217B"/>
    <w:rsid w:val="001A3B93"/>
    <w:rsid w:val="001A5819"/>
    <w:rsid w:val="001A699E"/>
    <w:rsid w:val="001A707B"/>
    <w:rsid w:val="001B25EE"/>
    <w:rsid w:val="001B503B"/>
    <w:rsid w:val="001B5F93"/>
    <w:rsid w:val="001C000A"/>
    <w:rsid w:val="001C11F5"/>
    <w:rsid w:val="001C2311"/>
    <w:rsid w:val="001C28E3"/>
    <w:rsid w:val="001C2A54"/>
    <w:rsid w:val="001C6E90"/>
    <w:rsid w:val="001D03AF"/>
    <w:rsid w:val="001D0EEF"/>
    <w:rsid w:val="001D2774"/>
    <w:rsid w:val="001D3A3E"/>
    <w:rsid w:val="001D5007"/>
    <w:rsid w:val="001D6DCC"/>
    <w:rsid w:val="001D73CB"/>
    <w:rsid w:val="001E04B5"/>
    <w:rsid w:val="001E0DD4"/>
    <w:rsid w:val="001E36B6"/>
    <w:rsid w:val="001E577E"/>
    <w:rsid w:val="001E61F5"/>
    <w:rsid w:val="001E66BD"/>
    <w:rsid w:val="001F4131"/>
    <w:rsid w:val="001F6563"/>
    <w:rsid w:val="002014FB"/>
    <w:rsid w:val="00201737"/>
    <w:rsid w:val="00203A65"/>
    <w:rsid w:val="00203F1F"/>
    <w:rsid w:val="00204099"/>
    <w:rsid w:val="00205226"/>
    <w:rsid w:val="002054E3"/>
    <w:rsid w:val="0020595E"/>
    <w:rsid w:val="0020622D"/>
    <w:rsid w:val="00206D10"/>
    <w:rsid w:val="00206D31"/>
    <w:rsid w:val="00210D1E"/>
    <w:rsid w:val="0021250C"/>
    <w:rsid w:val="00212AF5"/>
    <w:rsid w:val="00213457"/>
    <w:rsid w:val="00214D75"/>
    <w:rsid w:val="002156CF"/>
    <w:rsid w:val="00221B75"/>
    <w:rsid w:val="00224707"/>
    <w:rsid w:val="00225219"/>
    <w:rsid w:val="00226C83"/>
    <w:rsid w:val="002302BF"/>
    <w:rsid w:val="0023110E"/>
    <w:rsid w:val="00233632"/>
    <w:rsid w:val="00233F94"/>
    <w:rsid w:val="0023463C"/>
    <w:rsid w:val="002350E9"/>
    <w:rsid w:val="0024090A"/>
    <w:rsid w:val="00240D30"/>
    <w:rsid w:val="002452F8"/>
    <w:rsid w:val="00247C62"/>
    <w:rsid w:val="002506B3"/>
    <w:rsid w:val="0025108B"/>
    <w:rsid w:val="00254A47"/>
    <w:rsid w:val="00255C70"/>
    <w:rsid w:val="00256E51"/>
    <w:rsid w:val="00260993"/>
    <w:rsid w:val="00260A71"/>
    <w:rsid w:val="002613D7"/>
    <w:rsid w:val="002638B8"/>
    <w:rsid w:val="002705F7"/>
    <w:rsid w:val="00270CFF"/>
    <w:rsid w:val="00275B3D"/>
    <w:rsid w:val="0027714E"/>
    <w:rsid w:val="002807CE"/>
    <w:rsid w:val="00280D2C"/>
    <w:rsid w:val="0028534E"/>
    <w:rsid w:val="00285B3B"/>
    <w:rsid w:val="00286446"/>
    <w:rsid w:val="00286790"/>
    <w:rsid w:val="00286CE4"/>
    <w:rsid w:val="00287DFA"/>
    <w:rsid w:val="00287FCE"/>
    <w:rsid w:val="002949CF"/>
    <w:rsid w:val="00297A58"/>
    <w:rsid w:val="002A21D0"/>
    <w:rsid w:val="002A34AE"/>
    <w:rsid w:val="002A50A9"/>
    <w:rsid w:val="002A583D"/>
    <w:rsid w:val="002A5D1F"/>
    <w:rsid w:val="002B0DC7"/>
    <w:rsid w:val="002B1050"/>
    <w:rsid w:val="002B14C4"/>
    <w:rsid w:val="002B1A0B"/>
    <w:rsid w:val="002B1EA0"/>
    <w:rsid w:val="002B2C99"/>
    <w:rsid w:val="002B468A"/>
    <w:rsid w:val="002C1467"/>
    <w:rsid w:val="002C1705"/>
    <w:rsid w:val="002C27E8"/>
    <w:rsid w:val="002C4A72"/>
    <w:rsid w:val="002C4BBE"/>
    <w:rsid w:val="002C51E7"/>
    <w:rsid w:val="002D0186"/>
    <w:rsid w:val="002D3186"/>
    <w:rsid w:val="002D372A"/>
    <w:rsid w:val="002E1A75"/>
    <w:rsid w:val="002E3EF4"/>
    <w:rsid w:val="002E4CB5"/>
    <w:rsid w:val="002E604F"/>
    <w:rsid w:val="002E6E05"/>
    <w:rsid w:val="002E6FD9"/>
    <w:rsid w:val="002F0077"/>
    <w:rsid w:val="002F05ED"/>
    <w:rsid w:val="002F1672"/>
    <w:rsid w:val="002F3195"/>
    <w:rsid w:val="002F331B"/>
    <w:rsid w:val="002F3E4E"/>
    <w:rsid w:val="002F4C08"/>
    <w:rsid w:val="0030157D"/>
    <w:rsid w:val="00303AEF"/>
    <w:rsid w:val="00303D27"/>
    <w:rsid w:val="003061B4"/>
    <w:rsid w:val="00307351"/>
    <w:rsid w:val="0030766C"/>
    <w:rsid w:val="0031099D"/>
    <w:rsid w:val="0031245E"/>
    <w:rsid w:val="00312BF5"/>
    <w:rsid w:val="0031357E"/>
    <w:rsid w:val="00313D8B"/>
    <w:rsid w:val="00314E97"/>
    <w:rsid w:val="0031505C"/>
    <w:rsid w:val="00315A04"/>
    <w:rsid w:val="00316CE2"/>
    <w:rsid w:val="003226AC"/>
    <w:rsid w:val="00322F10"/>
    <w:rsid w:val="00325197"/>
    <w:rsid w:val="00325538"/>
    <w:rsid w:val="0032554B"/>
    <w:rsid w:val="003264AC"/>
    <w:rsid w:val="00326CA9"/>
    <w:rsid w:val="00331A0F"/>
    <w:rsid w:val="00332A4A"/>
    <w:rsid w:val="00333485"/>
    <w:rsid w:val="00333CD9"/>
    <w:rsid w:val="00336767"/>
    <w:rsid w:val="00336A6D"/>
    <w:rsid w:val="00336E6B"/>
    <w:rsid w:val="003426F0"/>
    <w:rsid w:val="00346A2E"/>
    <w:rsid w:val="003510CC"/>
    <w:rsid w:val="00355A1E"/>
    <w:rsid w:val="00355D1C"/>
    <w:rsid w:val="003560CC"/>
    <w:rsid w:val="00357F6A"/>
    <w:rsid w:val="003611AF"/>
    <w:rsid w:val="00363C12"/>
    <w:rsid w:val="00366214"/>
    <w:rsid w:val="00371B91"/>
    <w:rsid w:val="003722A8"/>
    <w:rsid w:val="00372C22"/>
    <w:rsid w:val="00374443"/>
    <w:rsid w:val="003745D0"/>
    <w:rsid w:val="003746EC"/>
    <w:rsid w:val="00374A1A"/>
    <w:rsid w:val="0037511A"/>
    <w:rsid w:val="003825AF"/>
    <w:rsid w:val="003829F6"/>
    <w:rsid w:val="00382DD3"/>
    <w:rsid w:val="00382F46"/>
    <w:rsid w:val="00386281"/>
    <w:rsid w:val="003871C9"/>
    <w:rsid w:val="00387465"/>
    <w:rsid w:val="00391E77"/>
    <w:rsid w:val="003940E5"/>
    <w:rsid w:val="0039689E"/>
    <w:rsid w:val="003A0E73"/>
    <w:rsid w:val="003A3D90"/>
    <w:rsid w:val="003A5DA0"/>
    <w:rsid w:val="003B56DC"/>
    <w:rsid w:val="003C17C5"/>
    <w:rsid w:val="003C2D74"/>
    <w:rsid w:val="003C4709"/>
    <w:rsid w:val="003C558B"/>
    <w:rsid w:val="003C61AF"/>
    <w:rsid w:val="003D320F"/>
    <w:rsid w:val="003D4384"/>
    <w:rsid w:val="003D63D7"/>
    <w:rsid w:val="003E032D"/>
    <w:rsid w:val="003E46CF"/>
    <w:rsid w:val="003E5E08"/>
    <w:rsid w:val="003F001A"/>
    <w:rsid w:val="003F5EF5"/>
    <w:rsid w:val="003F6166"/>
    <w:rsid w:val="003F68BF"/>
    <w:rsid w:val="003F7F03"/>
    <w:rsid w:val="00400DFF"/>
    <w:rsid w:val="00407134"/>
    <w:rsid w:val="0040792A"/>
    <w:rsid w:val="0041037D"/>
    <w:rsid w:val="0041101A"/>
    <w:rsid w:val="00412759"/>
    <w:rsid w:val="00414220"/>
    <w:rsid w:val="004156B6"/>
    <w:rsid w:val="00417265"/>
    <w:rsid w:val="00417EFE"/>
    <w:rsid w:val="00425E82"/>
    <w:rsid w:val="00427297"/>
    <w:rsid w:val="00427309"/>
    <w:rsid w:val="0042734A"/>
    <w:rsid w:val="00431D8F"/>
    <w:rsid w:val="004340F0"/>
    <w:rsid w:val="004357AD"/>
    <w:rsid w:val="004358A1"/>
    <w:rsid w:val="00436843"/>
    <w:rsid w:val="004373B0"/>
    <w:rsid w:val="004414F1"/>
    <w:rsid w:val="00441BC0"/>
    <w:rsid w:val="00444215"/>
    <w:rsid w:val="004516A2"/>
    <w:rsid w:val="00451E86"/>
    <w:rsid w:val="00454116"/>
    <w:rsid w:val="00455D85"/>
    <w:rsid w:val="0046119C"/>
    <w:rsid w:val="004618E6"/>
    <w:rsid w:val="00463141"/>
    <w:rsid w:val="00465BCE"/>
    <w:rsid w:val="0046649A"/>
    <w:rsid w:val="00472567"/>
    <w:rsid w:val="00473A9B"/>
    <w:rsid w:val="00475F28"/>
    <w:rsid w:val="0047790D"/>
    <w:rsid w:val="00477BB9"/>
    <w:rsid w:val="00487AD2"/>
    <w:rsid w:val="004903D6"/>
    <w:rsid w:val="004929BB"/>
    <w:rsid w:val="00492E9E"/>
    <w:rsid w:val="00493959"/>
    <w:rsid w:val="004952F2"/>
    <w:rsid w:val="00496818"/>
    <w:rsid w:val="00496DB2"/>
    <w:rsid w:val="004973D2"/>
    <w:rsid w:val="004A3338"/>
    <w:rsid w:val="004A68BA"/>
    <w:rsid w:val="004B6154"/>
    <w:rsid w:val="004C442C"/>
    <w:rsid w:val="004D21AA"/>
    <w:rsid w:val="004D31E8"/>
    <w:rsid w:val="004D682C"/>
    <w:rsid w:val="004D7FF9"/>
    <w:rsid w:val="004E2B06"/>
    <w:rsid w:val="004F00B2"/>
    <w:rsid w:val="004F37FA"/>
    <w:rsid w:val="004F441A"/>
    <w:rsid w:val="004F5059"/>
    <w:rsid w:val="004F6713"/>
    <w:rsid w:val="00501A7E"/>
    <w:rsid w:val="005021D7"/>
    <w:rsid w:val="0050317F"/>
    <w:rsid w:val="005037F9"/>
    <w:rsid w:val="00507A7B"/>
    <w:rsid w:val="00507A8E"/>
    <w:rsid w:val="005101BA"/>
    <w:rsid w:val="0051355A"/>
    <w:rsid w:val="00514A55"/>
    <w:rsid w:val="00515F2B"/>
    <w:rsid w:val="005209B1"/>
    <w:rsid w:val="00520F45"/>
    <w:rsid w:val="0052104D"/>
    <w:rsid w:val="0052233A"/>
    <w:rsid w:val="00525122"/>
    <w:rsid w:val="00527F61"/>
    <w:rsid w:val="00530090"/>
    <w:rsid w:val="00530E43"/>
    <w:rsid w:val="00531E2F"/>
    <w:rsid w:val="00534633"/>
    <w:rsid w:val="0053569C"/>
    <w:rsid w:val="00536801"/>
    <w:rsid w:val="0054058C"/>
    <w:rsid w:val="00546C28"/>
    <w:rsid w:val="00551019"/>
    <w:rsid w:val="005535D5"/>
    <w:rsid w:val="00553700"/>
    <w:rsid w:val="0055510E"/>
    <w:rsid w:val="00555588"/>
    <w:rsid w:val="005555FA"/>
    <w:rsid w:val="00556533"/>
    <w:rsid w:val="00560975"/>
    <w:rsid w:val="00561341"/>
    <w:rsid w:val="00562DCE"/>
    <w:rsid w:val="005632C2"/>
    <w:rsid w:val="00564120"/>
    <w:rsid w:val="0056736F"/>
    <w:rsid w:val="00567978"/>
    <w:rsid w:val="00573FFC"/>
    <w:rsid w:val="00574254"/>
    <w:rsid w:val="0057639D"/>
    <w:rsid w:val="00576B9D"/>
    <w:rsid w:val="00580922"/>
    <w:rsid w:val="00582538"/>
    <w:rsid w:val="00583FC7"/>
    <w:rsid w:val="00584D41"/>
    <w:rsid w:val="00585702"/>
    <w:rsid w:val="0058641C"/>
    <w:rsid w:val="00590496"/>
    <w:rsid w:val="005915C1"/>
    <w:rsid w:val="0059211B"/>
    <w:rsid w:val="00592938"/>
    <w:rsid w:val="00593A16"/>
    <w:rsid w:val="0059454A"/>
    <w:rsid w:val="00594B10"/>
    <w:rsid w:val="005A28FC"/>
    <w:rsid w:val="005B0C76"/>
    <w:rsid w:val="005B1325"/>
    <w:rsid w:val="005B1993"/>
    <w:rsid w:val="005B2679"/>
    <w:rsid w:val="005B291B"/>
    <w:rsid w:val="005B65DA"/>
    <w:rsid w:val="005B77AA"/>
    <w:rsid w:val="005C1C6E"/>
    <w:rsid w:val="005C2686"/>
    <w:rsid w:val="005C26F8"/>
    <w:rsid w:val="005C4293"/>
    <w:rsid w:val="005C5E43"/>
    <w:rsid w:val="005C674F"/>
    <w:rsid w:val="005C6ACD"/>
    <w:rsid w:val="005D011F"/>
    <w:rsid w:val="005D257C"/>
    <w:rsid w:val="005D6ABC"/>
    <w:rsid w:val="005E0512"/>
    <w:rsid w:val="005E3C70"/>
    <w:rsid w:val="005E3EA2"/>
    <w:rsid w:val="005E530C"/>
    <w:rsid w:val="005E74D9"/>
    <w:rsid w:val="005F0D2E"/>
    <w:rsid w:val="005F1CE5"/>
    <w:rsid w:val="005F5079"/>
    <w:rsid w:val="005F5B4B"/>
    <w:rsid w:val="006003E0"/>
    <w:rsid w:val="006007FF"/>
    <w:rsid w:val="00600F79"/>
    <w:rsid w:val="006027BD"/>
    <w:rsid w:val="00603F3A"/>
    <w:rsid w:val="006078F2"/>
    <w:rsid w:val="00607F5D"/>
    <w:rsid w:val="0061358E"/>
    <w:rsid w:val="00614D54"/>
    <w:rsid w:val="006210CF"/>
    <w:rsid w:val="00621BC9"/>
    <w:rsid w:val="00622523"/>
    <w:rsid w:val="006225D1"/>
    <w:rsid w:val="0062354D"/>
    <w:rsid w:val="00626C34"/>
    <w:rsid w:val="00632224"/>
    <w:rsid w:val="00635343"/>
    <w:rsid w:val="0063726C"/>
    <w:rsid w:val="00641D81"/>
    <w:rsid w:val="00642BB3"/>
    <w:rsid w:val="00643470"/>
    <w:rsid w:val="006442DF"/>
    <w:rsid w:val="00645167"/>
    <w:rsid w:val="00645B0F"/>
    <w:rsid w:val="00652AED"/>
    <w:rsid w:val="0065359B"/>
    <w:rsid w:val="00653750"/>
    <w:rsid w:val="006563F6"/>
    <w:rsid w:val="00660DEA"/>
    <w:rsid w:val="00663B10"/>
    <w:rsid w:val="0066576B"/>
    <w:rsid w:val="00665BC7"/>
    <w:rsid w:val="00666890"/>
    <w:rsid w:val="00666F56"/>
    <w:rsid w:val="00667A30"/>
    <w:rsid w:val="0067035C"/>
    <w:rsid w:val="006707AA"/>
    <w:rsid w:val="00672A65"/>
    <w:rsid w:val="0067368E"/>
    <w:rsid w:val="006746BD"/>
    <w:rsid w:val="00677D74"/>
    <w:rsid w:val="006801D6"/>
    <w:rsid w:val="006838DD"/>
    <w:rsid w:val="00684692"/>
    <w:rsid w:val="00685208"/>
    <w:rsid w:val="006870E7"/>
    <w:rsid w:val="00687183"/>
    <w:rsid w:val="00687CE1"/>
    <w:rsid w:val="0068EAF3"/>
    <w:rsid w:val="00691E9D"/>
    <w:rsid w:val="00692097"/>
    <w:rsid w:val="006A56FB"/>
    <w:rsid w:val="006A658F"/>
    <w:rsid w:val="006A6D0C"/>
    <w:rsid w:val="006B0BC6"/>
    <w:rsid w:val="006B2BCF"/>
    <w:rsid w:val="006B3CD4"/>
    <w:rsid w:val="006B4B79"/>
    <w:rsid w:val="006B7AC6"/>
    <w:rsid w:val="006C0692"/>
    <w:rsid w:val="006C10DE"/>
    <w:rsid w:val="006C11DF"/>
    <w:rsid w:val="006C15D7"/>
    <w:rsid w:val="006C1A25"/>
    <w:rsid w:val="006C3A1B"/>
    <w:rsid w:val="006C4932"/>
    <w:rsid w:val="006D087B"/>
    <w:rsid w:val="006D4446"/>
    <w:rsid w:val="006D66B3"/>
    <w:rsid w:val="006E03EC"/>
    <w:rsid w:val="006E1F33"/>
    <w:rsid w:val="006E56F6"/>
    <w:rsid w:val="006E5F2C"/>
    <w:rsid w:val="006E78CB"/>
    <w:rsid w:val="006F1DB9"/>
    <w:rsid w:val="006F2CCF"/>
    <w:rsid w:val="006F2D75"/>
    <w:rsid w:val="006F4798"/>
    <w:rsid w:val="006F4FDF"/>
    <w:rsid w:val="006F60D0"/>
    <w:rsid w:val="006FD3CC"/>
    <w:rsid w:val="0070597A"/>
    <w:rsid w:val="00706923"/>
    <w:rsid w:val="00706D76"/>
    <w:rsid w:val="0070921C"/>
    <w:rsid w:val="007121BA"/>
    <w:rsid w:val="00712BD1"/>
    <w:rsid w:val="007165E4"/>
    <w:rsid w:val="00721E8F"/>
    <w:rsid w:val="00725974"/>
    <w:rsid w:val="00725A9D"/>
    <w:rsid w:val="00727C02"/>
    <w:rsid w:val="0073154B"/>
    <w:rsid w:val="007319D3"/>
    <w:rsid w:val="0073455D"/>
    <w:rsid w:val="00737DFA"/>
    <w:rsid w:val="0074122A"/>
    <w:rsid w:val="00741C91"/>
    <w:rsid w:val="00742929"/>
    <w:rsid w:val="00745D2E"/>
    <w:rsid w:val="00745E35"/>
    <w:rsid w:val="00746238"/>
    <w:rsid w:val="00746428"/>
    <w:rsid w:val="007478D2"/>
    <w:rsid w:val="00747909"/>
    <w:rsid w:val="00753F1D"/>
    <w:rsid w:val="007569D8"/>
    <w:rsid w:val="00757492"/>
    <w:rsid w:val="007613DD"/>
    <w:rsid w:val="00762D21"/>
    <w:rsid w:val="00763599"/>
    <w:rsid w:val="00764FD1"/>
    <w:rsid w:val="0076649F"/>
    <w:rsid w:val="0077142B"/>
    <w:rsid w:val="00772565"/>
    <w:rsid w:val="007739C4"/>
    <w:rsid w:val="00774CE1"/>
    <w:rsid w:val="00775FE0"/>
    <w:rsid w:val="00783956"/>
    <w:rsid w:val="007855F4"/>
    <w:rsid w:val="00785B07"/>
    <w:rsid w:val="00786D8C"/>
    <w:rsid w:val="00791433"/>
    <w:rsid w:val="007921B4"/>
    <w:rsid w:val="00792C76"/>
    <w:rsid w:val="00793112"/>
    <w:rsid w:val="00797D49"/>
    <w:rsid w:val="00797F2B"/>
    <w:rsid w:val="007A0FFD"/>
    <w:rsid w:val="007A136A"/>
    <w:rsid w:val="007A279B"/>
    <w:rsid w:val="007A605E"/>
    <w:rsid w:val="007A65FA"/>
    <w:rsid w:val="007B434D"/>
    <w:rsid w:val="007B64CA"/>
    <w:rsid w:val="007C19EA"/>
    <w:rsid w:val="007C1E2A"/>
    <w:rsid w:val="007C55C0"/>
    <w:rsid w:val="007D31C4"/>
    <w:rsid w:val="007D38DC"/>
    <w:rsid w:val="007D4A36"/>
    <w:rsid w:val="007D5FBA"/>
    <w:rsid w:val="007D71FF"/>
    <w:rsid w:val="007E04B6"/>
    <w:rsid w:val="007E0B94"/>
    <w:rsid w:val="007E16A7"/>
    <w:rsid w:val="007E1C4C"/>
    <w:rsid w:val="007E3B86"/>
    <w:rsid w:val="007E7323"/>
    <w:rsid w:val="007E7A90"/>
    <w:rsid w:val="007E7C27"/>
    <w:rsid w:val="007F09D2"/>
    <w:rsid w:val="007F60C8"/>
    <w:rsid w:val="007F73BA"/>
    <w:rsid w:val="00800B99"/>
    <w:rsid w:val="00801006"/>
    <w:rsid w:val="008028DF"/>
    <w:rsid w:val="00803A55"/>
    <w:rsid w:val="008049DE"/>
    <w:rsid w:val="008059C3"/>
    <w:rsid w:val="008069FA"/>
    <w:rsid w:val="00810B87"/>
    <w:rsid w:val="00816D80"/>
    <w:rsid w:val="008218F5"/>
    <w:rsid w:val="00824A17"/>
    <w:rsid w:val="00827321"/>
    <w:rsid w:val="008305E4"/>
    <w:rsid w:val="00830F41"/>
    <w:rsid w:val="00831501"/>
    <w:rsid w:val="00832AEE"/>
    <w:rsid w:val="008343E7"/>
    <w:rsid w:val="00835F10"/>
    <w:rsid w:val="008364A5"/>
    <w:rsid w:val="008365C6"/>
    <w:rsid w:val="00837EAC"/>
    <w:rsid w:val="008400B9"/>
    <w:rsid w:val="00841FF4"/>
    <w:rsid w:val="008426BF"/>
    <w:rsid w:val="00843CE5"/>
    <w:rsid w:val="00847EC1"/>
    <w:rsid w:val="008503FB"/>
    <w:rsid w:val="0085058F"/>
    <w:rsid w:val="00851299"/>
    <w:rsid w:val="00853125"/>
    <w:rsid w:val="00853173"/>
    <w:rsid w:val="00854013"/>
    <w:rsid w:val="008569B1"/>
    <w:rsid w:val="00857076"/>
    <w:rsid w:val="008571C7"/>
    <w:rsid w:val="0086023D"/>
    <w:rsid w:val="0086154A"/>
    <w:rsid w:val="008615FE"/>
    <w:rsid w:val="00863949"/>
    <w:rsid w:val="00863F1D"/>
    <w:rsid w:val="0086414D"/>
    <w:rsid w:val="00865415"/>
    <w:rsid w:val="0086666E"/>
    <w:rsid w:val="00866AA2"/>
    <w:rsid w:val="008712A4"/>
    <w:rsid w:val="00871E78"/>
    <w:rsid w:val="00872645"/>
    <w:rsid w:val="00873A0E"/>
    <w:rsid w:val="0087461E"/>
    <w:rsid w:val="0087565D"/>
    <w:rsid w:val="008757AE"/>
    <w:rsid w:val="008767D1"/>
    <w:rsid w:val="008803A6"/>
    <w:rsid w:val="00880FE9"/>
    <w:rsid w:val="0088331E"/>
    <w:rsid w:val="008913A0"/>
    <w:rsid w:val="00892161"/>
    <w:rsid w:val="00892343"/>
    <w:rsid w:val="0089463D"/>
    <w:rsid w:val="008A38ED"/>
    <w:rsid w:val="008A399E"/>
    <w:rsid w:val="008A3A40"/>
    <w:rsid w:val="008A4B88"/>
    <w:rsid w:val="008A52B3"/>
    <w:rsid w:val="008A6171"/>
    <w:rsid w:val="008A6342"/>
    <w:rsid w:val="008B108F"/>
    <w:rsid w:val="008B1BDA"/>
    <w:rsid w:val="008B1DC0"/>
    <w:rsid w:val="008B2661"/>
    <w:rsid w:val="008B27C6"/>
    <w:rsid w:val="008B2A3C"/>
    <w:rsid w:val="008B7CAC"/>
    <w:rsid w:val="008C2AD7"/>
    <w:rsid w:val="008C5277"/>
    <w:rsid w:val="008C694B"/>
    <w:rsid w:val="008D272F"/>
    <w:rsid w:val="008D3857"/>
    <w:rsid w:val="008D5268"/>
    <w:rsid w:val="008E21B6"/>
    <w:rsid w:val="008E25AD"/>
    <w:rsid w:val="008E5B5F"/>
    <w:rsid w:val="008E5D2F"/>
    <w:rsid w:val="008E708D"/>
    <w:rsid w:val="008E7C0B"/>
    <w:rsid w:val="008F0B6D"/>
    <w:rsid w:val="008F14AE"/>
    <w:rsid w:val="008F38AE"/>
    <w:rsid w:val="008F5D54"/>
    <w:rsid w:val="00900384"/>
    <w:rsid w:val="009006D9"/>
    <w:rsid w:val="0090195A"/>
    <w:rsid w:val="00901CB4"/>
    <w:rsid w:val="00902DE2"/>
    <w:rsid w:val="00903E81"/>
    <w:rsid w:val="00904754"/>
    <w:rsid w:val="00904904"/>
    <w:rsid w:val="00906983"/>
    <w:rsid w:val="00914BB9"/>
    <w:rsid w:val="00916081"/>
    <w:rsid w:val="00916474"/>
    <w:rsid w:val="00917846"/>
    <w:rsid w:val="0092011A"/>
    <w:rsid w:val="009243B7"/>
    <w:rsid w:val="00924664"/>
    <w:rsid w:val="00924681"/>
    <w:rsid w:val="00924CDB"/>
    <w:rsid w:val="00925160"/>
    <w:rsid w:val="009256C4"/>
    <w:rsid w:val="009265C5"/>
    <w:rsid w:val="0093057A"/>
    <w:rsid w:val="00931062"/>
    <w:rsid w:val="00934A8D"/>
    <w:rsid w:val="00934E3B"/>
    <w:rsid w:val="00941D8F"/>
    <w:rsid w:val="00945BC6"/>
    <w:rsid w:val="00946C1F"/>
    <w:rsid w:val="00950B62"/>
    <w:rsid w:val="00953639"/>
    <w:rsid w:val="00955697"/>
    <w:rsid w:val="00960D90"/>
    <w:rsid w:val="00962B5A"/>
    <w:rsid w:val="00962BBD"/>
    <w:rsid w:val="009676B5"/>
    <w:rsid w:val="00967D0D"/>
    <w:rsid w:val="00971ACB"/>
    <w:rsid w:val="00971BA4"/>
    <w:rsid w:val="009730B7"/>
    <w:rsid w:val="0097336B"/>
    <w:rsid w:val="00973687"/>
    <w:rsid w:val="00973792"/>
    <w:rsid w:val="00973F05"/>
    <w:rsid w:val="009749EC"/>
    <w:rsid w:val="00975A11"/>
    <w:rsid w:val="009760AD"/>
    <w:rsid w:val="009760C7"/>
    <w:rsid w:val="00976D53"/>
    <w:rsid w:val="00976FE3"/>
    <w:rsid w:val="009805EA"/>
    <w:rsid w:val="00981C5A"/>
    <w:rsid w:val="00981E9D"/>
    <w:rsid w:val="00984E3F"/>
    <w:rsid w:val="00985569"/>
    <w:rsid w:val="00990404"/>
    <w:rsid w:val="0099159E"/>
    <w:rsid w:val="00991A19"/>
    <w:rsid w:val="00991A81"/>
    <w:rsid w:val="00992AC0"/>
    <w:rsid w:val="00996141"/>
    <w:rsid w:val="009A0536"/>
    <w:rsid w:val="009A223A"/>
    <w:rsid w:val="009A255D"/>
    <w:rsid w:val="009A51A7"/>
    <w:rsid w:val="009A5A7C"/>
    <w:rsid w:val="009A6677"/>
    <w:rsid w:val="009B12D8"/>
    <w:rsid w:val="009B488B"/>
    <w:rsid w:val="009B4CDD"/>
    <w:rsid w:val="009B4E80"/>
    <w:rsid w:val="009B7250"/>
    <w:rsid w:val="009B7487"/>
    <w:rsid w:val="009C0624"/>
    <w:rsid w:val="009C4938"/>
    <w:rsid w:val="009C7EB8"/>
    <w:rsid w:val="009D116F"/>
    <w:rsid w:val="009D15E6"/>
    <w:rsid w:val="009D2618"/>
    <w:rsid w:val="009D3D78"/>
    <w:rsid w:val="009D57B4"/>
    <w:rsid w:val="009E2044"/>
    <w:rsid w:val="009E2C5F"/>
    <w:rsid w:val="009E3699"/>
    <w:rsid w:val="009E49FB"/>
    <w:rsid w:val="009E7457"/>
    <w:rsid w:val="009F01F3"/>
    <w:rsid w:val="009F0778"/>
    <w:rsid w:val="009F0801"/>
    <w:rsid w:val="009F2B12"/>
    <w:rsid w:val="009F2ED8"/>
    <w:rsid w:val="009F638D"/>
    <w:rsid w:val="009F6AA2"/>
    <w:rsid w:val="009F7400"/>
    <w:rsid w:val="00A0108D"/>
    <w:rsid w:val="00A014E3"/>
    <w:rsid w:val="00A05D6B"/>
    <w:rsid w:val="00A102CA"/>
    <w:rsid w:val="00A116F1"/>
    <w:rsid w:val="00A12232"/>
    <w:rsid w:val="00A126A2"/>
    <w:rsid w:val="00A12EF9"/>
    <w:rsid w:val="00A13A10"/>
    <w:rsid w:val="00A14DEE"/>
    <w:rsid w:val="00A14E39"/>
    <w:rsid w:val="00A200E8"/>
    <w:rsid w:val="00A24D0B"/>
    <w:rsid w:val="00A253C0"/>
    <w:rsid w:val="00A276AD"/>
    <w:rsid w:val="00A32F58"/>
    <w:rsid w:val="00A32F84"/>
    <w:rsid w:val="00A33B52"/>
    <w:rsid w:val="00A33C78"/>
    <w:rsid w:val="00A351B9"/>
    <w:rsid w:val="00A401B3"/>
    <w:rsid w:val="00A424FA"/>
    <w:rsid w:val="00A431DB"/>
    <w:rsid w:val="00A43A34"/>
    <w:rsid w:val="00A46102"/>
    <w:rsid w:val="00A5010C"/>
    <w:rsid w:val="00A50DD9"/>
    <w:rsid w:val="00A528C6"/>
    <w:rsid w:val="00A54948"/>
    <w:rsid w:val="00A5690D"/>
    <w:rsid w:val="00A57080"/>
    <w:rsid w:val="00A61C3A"/>
    <w:rsid w:val="00A61E80"/>
    <w:rsid w:val="00A6233D"/>
    <w:rsid w:val="00A63FA8"/>
    <w:rsid w:val="00A6473F"/>
    <w:rsid w:val="00A65800"/>
    <w:rsid w:val="00A6791B"/>
    <w:rsid w:val="00A72055"/>
    <w:rsid w:val="00A74CE0"/>
    <w:rsid w:val="00A74D13"/>
    <w:rsid w:val="00A75823"/>
    <w:rsid w:val="00A805CD"/>
    <w:rsid w:val="00A80F86"/>
    <w:rsid w:val="00A8697B"/>
    <w:rsid w:val="00A869C8"/>
    <w:rsid w:val="00A87827"/>
    <w:rsid w:val="00A911BD"/>
    <w:rsid w:val="00A97E95"/>
    <w:rsid w:val="00AA03D0"/>
    <w:rsid w:val="00AA5329"/>
    <w:rsid w:val="00AA7CE4"/>
    <w:rsid w:val="00AB4C7E"/>
    <w:rsid w:val="00AB6E3D"/>
    <w:rsid w:val="00AB7998"/>
    <w:rsid w:val="00AB7D44"/>
    <w:rsid w:val="00AC0C7F"/>
    <w:rsid w:val="00AC3222"/>
    <w:rsid w:val="00AC61B1"/>
    <w:rsid w:val="00AC7C86"/>
    <w:rsid w:val="00AD0147"/>
    <w:rsid w:val="00AD1867"/>
    <w:rsid w:val="00AD38C4"/>
    <w:rsid w:val="00AD3D75"/>
    <w:rsid w:val="00AD4ABD"/>
    <w:rsid w:val="00AD7B18"/>
    <w:rsid w:val="00AE24F1"/>
    <w:rsid w:val="00AE28DC"/>
    <w:rsid w:val="00AE425D"/>
    <w:rsid w:val="00AE4A14"/>
    <w:rsid w:val="00AE5A32"/>
    <w:rsid w:val="00AE6114"/>
    <w:rsid w:val="00AF13F7"/>
    <w:rsid w:val="00AF1DD5"/>
    <w:rsid w:val="00AF3287"/>
    <w:rsid w:val="00AF65CE"/>
    <w:rsid w:val="00B0025A"/>
    <w:rsid w:val="00B0048D"/>
    <w:rsid w:val="00B005FA"/>
    <w:rsid w:val="00B0228A"/>
    <w:rsid w:val="00B05525"/>
    <w:rsid w:val="00B05A29"/>
    <w:rsid w:val="00B0641D"/>
    <w:rsid w:val="00B1234B"/>
    <w:rsid w:val="00B13B9A"/>
    <w:rsid w:val="00B15474"/>
    <w:rsid w:val="00B15CE7"/>
    <w:rsid w:val="00B1623E"/>
    <w:rsid w:val="00B16599"/>
    <w:rsid w:val="00B215FA"/>
    <w:rsid w:val="00B21FDB"/>
    <w:rsid w:val="00B22F49"/>
    <w:rsid w:val="00B25033"/>
    <w:rsid w:val="00B2799B"/>
    <w:rsid w:val="00B27ED4"/>
    <w:rsid w:val="00B31D91"/>
    <w:rsid w:val="00B34659"/>
    <w:rsid w:val="00B349FA"/>
    <w:rsid w:val="00B36E2F"/>
    <w:rsid w:val="00B378F4"/>
    <w:rsid w:val="00B40D07"/>
    <w:rsid w:val="00B40DFB"/>
    <w:rsid w:val="00B43A50"/>
    <w:rsid w:val="00B448FE"/>
    <w:rsid w:val="00B45E16"/>
    <w:rsid w:val="00B46A45"/>
    <w:rsid w:val="00B52230"/>
    <w:rsid w:val="00B52240"/>
    <w:rsid w:val="00B55A4E"/>
    <w:rsid w:val="00B57BE7"/>
    <w:rsid w:val="00B65233"/>
    <w:rsid w:val="00B6620F"/>
    <w:rsid w:val="00B67638"/>
    <w:rsid w:val="00B70610"/>
    <w:rsid w:val="00B72388"/>
    <w:rsid w:val="00B72CAA"/>
    <w:rsid w:val="00B7325D"/>
    <w:rsid w:val="00B76597"/>
    <w:rsid w:val="00B77E18"/>
    <w:rsid w:val="00B80368"/>
    <w:rsid w:val="00B8079E"/>
    <w:rsid w:val="00B824FD"/>
    <w:rsid w:val="00B847D1"/>
    <w:rsid w:val="00B85177"/>
    <w:rsid w:val="00B8533E"/>
    <w:rsid w:val="00B921F5"/>
    <w:rsid w:val="00B92C3D"/>
    <w:rsid w:val="00B962E5"/>
    <w:rsid w:val="00BA0D84"/>
    <w:rsid w:val="00BA1906"/>
    <w:rsid w:val="00BA1CB1"/>
    <w:rsid w:val="00BB3664"/>
    <w:rsid w:val="00BB7D92"/>
    <w:rsid w:val="00BC20EB"/>
    <w:rsid w:val="00BC3D8D"/>
    <w:rsid w:val="00BC41C7"/>
    <w:rsid w:val="00BC624D"/>
    <w:rsid w:val="00BC6EC8"/>
    <w:rsid w:val="00BD63AA"/>
    <w:rsid w:val="00BE0D35"/>
    <w:rsid w:val="00BE187D"/>
    <w:rsid w:val="00BE2BD0"/>
    <w:rsid w:val="00BE31C9"/>
    <w:rsid w:val="00BE339E"/>
    <w:rsid w:val="00BF4F52"/>
    <w:rsid w:val="00C0035A"/>
    <w:rsid w:val="00C033F6"/>
    <w:rsid w:val="00C0379B"/>
    <w:rsid w:val="00C03878"/>
    <w:rsid w:val="00C03E80"/>
    <w:rsid w:val="00C03FED"/>
    <w:rsid w:val="00C0408A"/>
    <w:rsid w:val="00C04DE6"/>
    <w:rsid w:val="00C06096"/>
    <w:rsid w:val="00C10134"/>
    <w:rsid w:val="00C12967"/>
    <w:rsid w:val="00C140ED"/>
    <w:rsid w:val="00C20C52"/>
    <w:rsid w:val="00C214A1"/>
    <w:rsid w:val="00C231F6"/>
    <w:rsid w:val="00C27DC4"/>
    <w:rsid w:val="00C32421"/>
    <w:rsid w:val="00C40E4E"/>
    <w:rsid w:val="00C415F8"/>
    <w:rsid w:val="00C42F8E"/>
    <w:rsid w:val="00C43414"/>
    <w:rsid w:val="00C456A5"/>
    <w:rsid w:val="00C46F5F"/>
    <w:rsid w:val="00C55C46"/>
    <w:rsid w:val="00C606D8"/>
    <w:rsid w:val="00C62861"/>
    <w:rsid w:val="00C6569B"/>
    <w:rsid w:val="00C65D7E"/>
    <w:rsid w:val="00C66717"/>
    <w:rsid w:val="00C671A3"/>
    <w:rsid w:val="00C71D99"/>
    <w:rsid w:val="00C72D2B"/>
    <w:rsid w:val="00C74749"/>
    <w:rsid w:val="00C748B4"/>
    <w:rsid w:val="00C74952"/>
    <w:rsid w:val="00C76CA6"/>
    <w:rsid w:val="00C80EAF"/>
    <w:rsid w:val="00C835EC"/>
    <w:rsid w:val="00C84BA4"/>
    <w:rsid w:val="00C85931"/>
    <w:rsid w:val="00C87BF1"/>
    <w:rsid w:val="00C9210C"/>
    <w:rsid w:val="00C95331"/>
    <w:rsid w:val="00C96F21"/>
    <w:rsid w:val="00CA4178"/>
    <w:rsid w:val="00CA4ACE"/>
    <w:rsid w:val="00CA4B52"/>
    <w:rsid w:val="00CA4F25"/>
    <w:rsid w:val="00CA562B"/>
    <w:rsid w:val="00CA6ADB"/>
    <w:rsid w:val="00CB133C"/>
    <w:rsid w:val="00CB3916"/>
    <w:rsid w:val="00CB4035"/>
    <w:rsid w:val="00CB5558"/>
    <w:rsid w:val="00CB59F6"/>
    <w:rsid w:val="00CB6660"/>
    <w:rsid w:val="00CC03A9"/>
    <w:rsid w:val="00CC4336"/>
    <w:rsid w:val="00CC6B9F"/>
    <w:rsid w:val="00CD0EFB"/>
    <w:rsid w:val="00CD154E"/>
    <w:rsid w:val="00CD50D1"/>
    <w:rsid w:val="00CE1708"/>
    <w:rsid w:val="00CE20A8"/>
    <w:rsid w:val="00CE32D0"/>
    <w:rsid w:val="00CE582C"/>
    <w:rsid w:val="00CF04A7"/>
    <w:rsid w:val="00CF1756"/>
    <w:rsid w:val="00CF3ABA"/>
    <w:rsid w:val="00CF6D0C"/>
    <w:rsid w:val="00D0021E"/>
    <w:rsid w:val="00D010BC"/>
    <w:rsid w:val="00D051FF"/>
    <w:rsid w:val="00D06723"/>
    <w:rsid w:val="00D10422"/>
    <w:rsid w:val="00D14068"/>
    <w:rsid w:val="00D14CDD"/>
    <w:rsid w:val="00D16318"/>
    <w:rsid w:val="00D211FC"/>
    <w:rsid w:val="00D2160C"/>
    <w:rsid w:val="00D32BD8"/>
    <w:rsid w:val="00D35956"/>
    <w:rsid w:val="00D36B14"/>
    <w:rsid w:val="00D40BFD"/>
    <w:rsid w:val="00D41CB7"/>
    <w:rsid w:val="00D41D67"/>
    <w:rsid w:val="00D423B5"/>
    <w:rsid w:val="00D431E1"/>
    <w:rsid w:val="00D436C0"/>
    <w:rsid w:val="00D4448F"/>
    <w:rsid w:val="00D4453C"/>
    <w:rsid w:val="00D47FF0"/>
    <w:rsid w:val="00D50A26"/>
    <w:rsid w:val="00D530D7"/>
    <w:rsid w:val="00D53875"/>
    <w:rsid w:val="00D53D9F"/>
    <w:rsid w:val="00D54420"/>
    <w:rsid w:val="00D54634"/>
    <w:rsid w:val="00D554CA"/>
    <w:rsid w:val="00D55959"/>
    <w:rsid w:val="00D561C3"/>
    <w:rsid w:val="00D56C22"/>
    <w:rsid w:val="00D60DE5"/>
    <w:rsid w:val="00D61308"/>
    <w:rsid w:val="00D627B1"/>
    <w:rsid w:val="00D65F86"/>
    <w:rsid w:val="00D66E05"/>
    <w:rsid w:val="00D7054C"/>
    <w:rsid w:val="00D72BB3"/>
    <w:rsid w:val="00D74FB8"/>
    <w:rsid w:val="00D7770D"/>
    <w:rsid w:val="00D81AC2"/>
    <w:rsid w:val="00D82997"/>
    <w:rsid w:val="00D83D1F"/>
    <w:rsid w:val="00D84470"/>
    <w:rsid w:val="00D85F4F"/>
    <w:rsid w:val="00D86383"/>
    <w:rsid w:val="00D86496"/>
    <w:rsid w:val="00D864F4"/>
    <w:rsid w:val="00D86C72"/>
    <w:rsid w:val="00D92143"/>
    <w:rsid w:val="00D936C1"/>
    <w:rsid w:val="00D93B36"/>
    <w:rsid w:val="00D949DA"/>
    <w:rsid w:val="00DA05DF"/>
    <w:rsid w:val="00DA28F0"/>
    <w:rsid w:val="00DA3867"/>
    <w:rsid w:val="00DA3F8C"/>
    <w:rsid w:val="00DA40EF"/>
    <w:rsid w:val="00DA42FB"/>
    <w:rsid w:val="00DA6CEB"/>
    <w:rsid w:val="00DB0E6C"/>
    <w:rsid w:val="00DB25D4"/>
    <w:rsid w:val="00DB286D"/>
    <w:rsid w:val="00DB519A"/>
    <w:rsid w:val="00DB5881"/>
    <w:rsid w:val="00DB65A2"/>
    <w:rsid w:val="00DB6BA8"/>
    <w:rsid w:val="00DB7A5F"/>
    <w:rsid w:val="00DC0FA1"/>
    <w:rsid w:val="00DC2871"/>
    <w:rsid w:val="00DC5661"/>
    <w:rsid w:val="00DC7713"/>
    <w:rsid w:val="00DC7A0B"/>
    <w:rsid w:val="00DD0B70"/>
    <w:rsid w:val="00DD48CD"/>
    <w:rsid w:val="00DD4C8F"/>
    <w:rsid w:val="00DD5FB3"/>
    <w:rsid w:val="00DD719D"/>
    <w:rsid w:val="00DD78AD"/>
    <w:rsid w:val="00DD7CB9"/>
    <w:rsid w:val="00DE07C9"/>
    <w:rsid w:val="00DE4A6D"/>
    <w:rsid w:val="00DE7293"/>
    <w:rsid w:val="00DE766B"/>
    <w:rsid w:val="00DE7DB7"/>
    <w:rsid w:val="00DF7CB6"/>
    <w:rsid w:val="00E018CE"/>
    <w:rsid w:val="00E03E2D"/>
    <w:rsid w:val="00E0462F"/>
    <w:rsid w:val="00E04E96"/>
    <w:rsid w:val="00E0554A"/>
    <w:rsid w:val="00E05731"/>
    <w:rsid w:val="00E0610B"/>
    <w:rsid w:val="00E07B08"/>
    <w:rsid w:val="00E105D8"/>
    <w:rsid w:val="00E1190B"/>
    <w:rsid w:val="00E13092"/>
    <w:rsid w:val="00E1D2CB"/>
    <w:rsid w:val="00E21B26"/>
    <w:rsid w:val="00E227DA"/>
    <w:rsid w:val="00E22CB6"/>
    <w:rsid w:val="00E2575B"/>
    <w:rsid w:val="00E25F40"/>
    <w:rsid w:val="00E27F04"/>
    <w:rsid w:val="00E27FE3"/>
    <w:rsid w:val="00E307D3"/>
    <w:rsid w:val="00E31076"/>
    <w:rsid w:val="00E31A74"/>
    <w:rsid w:val="00E31CA3"/>
    <w:rsid w:val="00E356B7"/>
    <w:rsid w:val="00E42B87"/>
    <w:rsid w:val="00E4381D"/>
    <w:rsid w:val="00E57187"/>
    <w:rsid w:val="00E65DCA"/>
    <w:rsid w:val="00E67E5E"/>
    <w:rsid w:val="00E67F07"/>
    <w:rsid w:val="00E70B93"/>
    <w:rsid w:val="00E70C7F"/>
    <w:rsid w:val="00E70E79"/>
    <w:rsid w:val="00E77719"/>
    <w:rsid w:val="00E80B3E"/>
    <w:rsid w:val="00E80DAB"/>
    <w:rsid w:val="00E818AF"/>
    <w:rsid w:val="00E841A5"/>
    <w:rsid w:val="00E84E4B"/>
    <w:rsid w:val="00E8676C"/>
    <w:rsid w:val="00E9668A"/>
    <w:rsid w:val="00EA1398"/>
    <w:rsid w:val="00EA3056"/>
    <w:rsid w:val="00EA4041"/>
    <w:rsid w:val="00EA5B5E"/>
    <w:rsid w:val="00EA75CD"/>
    <w:rsid w:val="00EA7B95"/>
    <w:rsid w:val="00EA7D5F"/>
    <w:rsid w:val="00EB03BF"/>
    <w:rsid w:val="00EB249D"/>
    <w:rsid w:val="00EB296F"/>
    <w:rsid w:val="00EB335B"/>
    <w:rsid w:val="00EB4714"/>
    <w:rsid w:val="00EC0502"/>
    <w:rsid w:val="00EC1EB9"/>
    <w:rsid w:val="00EC3386"/>
    <w:rsid w:val="00EC50FF"/>
    <w:rsid w:val="00EC6D53"/>
    <w:rsid w:val="00ED144A"/>
    <w:rsid w:val="00ED3F95"/>
    <w:rsid w:val="00ED6025"/>
    <w:rsid w:val="00ED724D"/>
    <w:rsid w:val="00ED7BD8"/>
    <w:rsid w:val="00ED7D89"/>
    <w:rsid w:val="00EE3E40"/>
    <w:rsid w:val="00EE430A"/>
    <w:rsid w:val="00EE4497"/>
    <w:rsid w:val="00EE4CCE"/>
    <w:rsid w:val="00EF02F3"/>
    <w:rsid w:val="00EF14AE"/>
    <w:rsid w:val="00EF2330"/>
    <w:rsid w:val="00EF29EE"/>
    <w:rsid w:val="00EF57DF"/>
    <w:rsid w:val="00EF649B"/>
    <w:rsid w:val="00F007BE"/>
    <w:rsid w:val="00F018F8"/>
    <w:rsid w:val="00F01995"/>
    <w:rsid w:val="00F02177"/>
    <w:rsid w:val="00F02F75"/>
    <w:rsid w:val="00F03038"/>
    <w:rsid w:val="00F0371B"/>
    <w:rsid w:val="00F03B78"/>
    <w:rsid w:val="00F0501C"/>
    <w:rsid w:val="00F05EDF"/>
    <w:rsid w:val="00F06205"/>
    <w:rsid w:val="00F068E0"/>
    <w:rsid w:val="00F06B4D"/>
    <w:rsid w:val="00F132F4"/>
    <w:rsid w:val="00F13BE1"/>
    <w:rsid w:val="00F148E6"/>
    <w:rsid w:val="00F168C5"/>
    <w:rsid w:val="00F21920"/>
    <w:rsid w:val="00F235AA"/>
    <w:rsid w:val="00F24561"/>
    <w:rsid w:val="00F24D58"/>
    <w:rsid w:val="00F24F7A"/>
    <w:rsid w:val="00F259D8"/>
    <w:rsid w:val="00F30A6B"/>
    <w:rsid w:val="00F31D34"/>
    <w:rsid w:val="00F32A61"/>
    <w:rsid w:val="00F36767"/>
    <w:rsid w:val="00F40421"/>
    <w:rsid w:val="00F43D5F"/>
    <w:rsid w:val="00F513AD"/>
    <w:rsid w:val="00F52993"/>
    <w:rsid w:val="00F54CEC"/>
    <w:rsid w:val="00F55447"/>
    <w:rsid w:val="00F56A9B"/>
    <w:rsid w:val="00F57CF4"/>
    <w:rsid w:val="00F57E78"/>
    <w:rsid w:val="00F6033E"/>
    <w:rsid w:val="00F6107C"/>
    <w:rsid w:val="00F64C9C"/>
    <w:rsid w:val="00F6532B"/>
    <w:rsid w:val="00F65D57"/>
    <w:rsid w:val="00F67DC0"/>
    <w:rsid w:val="00F75449"/>
    <w:rsid w:val="00F76A8A"/>
    <w:rsid w:val="00F77D5A"/>
    <w:rsid w:val="00F81E64"/>
    <w:rsid w:val="00F8238E"/>
    <w:rsid w:val="00F825C6"/>
    <w:rsid w:val="00F8410B"/>
    <w:rsid w:val="00F853DC"/>
    <w:rsid w:val="00F93838"/>
    <w:rsid w:val="00F944AD"/>
    <w:rsid w:val="00F9564D"/>
    <w:rsid w:val="00F96E86"/>
    <w:rsid w:val="00FA1C9A"/>
    <w:rsid w:val="00FA2155"/>
    <w:rsid w:val="00FA299B"/>
    <w:rsid w:val="00FA2BA6"/>
    <w:rsid w:val="00FA4F42"/>
    <w:rsid w:val="00FA5F09"/>
    <w:rsid w:val="00FA64ED"/>
    <w:rsid w:val="00FA678B"/>
    <w:rsid w:val="00FB0B63"/>
    <w:rsid w:val="00FB15C4"/>
    <w:rsid w:val="00FB7F05"/>
    <w:rsid w:val="00FC4ADE"/>
    <w:rsid w:val="00FC6319"/>
    <w:rsid w:val="00FD1371"/>
    <w:rsid w:val="00FD15FB"/>
    <w:rsid w:val="00FD1CAE"/>
    <w:rsid w:val="00FD1DD8"/>
    <w:rsid w:val="00FD2EFA"/>
    <w:rsid w:val="00FD50F6"/>
    <w:rsid w:val="00FD5222"/>
    <w:rsid w:val="00FD5CEF"/>
    <w:rsid w:val="00FD7AD2"/>
    <w:rsid w:val="00FD7CE8"/>
    <w:rsid w:val="00FE100C"/>
    <w:rsid w:val="00FE1ABD"/>
    <w:rsid w:val="00FE1FD8"/>
    <w:rsid w:val="00FE221E"/>
    <w:rsid w:val="00FE4397"/>
    <w:rsid w:val="00FE7B9D"/>
    <w:rsid w:val="00FF0AC4"/>
    <w:rsid w:val="00FF11BE"/>
    <w:rsid w:val="00FF28B3"/>
    <w:rsid w:val="00FF393B"/>
    <w:rsid w:val="00FF71BB"/>
    <w:rsid w:val="01416202"/>
    <w:rsid w:val="01435193"/>
    <w:rsid w:val="0180A316"/>
    <w:rsid w:val="01BCCE4F"/>
    <w:rsid w:val="01D013C5"/>
    <w:rsid w:val="02270F46"/>
    <w:rsid w:val="022BAEE7"/>
    <w:rsid w:val="023CECA6"/>
    <w:rsid w:val="023DFFC6"/>
    <w:rsid w:val="02A3B422"/>
    <w:rsid w:val="02D4F253"/>
    <w:rsid w:val="02FA5F87"/>
    <w:rsid w:val="032AF256"/>
    <w:rsid w:val="03490476"/>
    <w:rsid w:val="03579BA5"/>
    <w:rsid w:val="04188D19"/>
    <w:rsid w:val="0457E145"/>
    <w:rsid w:val="048630B2"/>
    <w:rsid w:val="04F03B1B"/>
    <w:rsid w:val="055A1157"/>
    <w:rsid w:val="0584605F"/>
    <w:rsid w:val="059766F2"/>
    <w:rsid w:val="05B2AC30"/>
    <w:rsid w:val="05FBDD65"/>
    <w:rsid w:val="062969B5"/>
    <w:rsid w:val="06334101"/>
    <w:rsid w:val="076149E9"/>
    <w:rsid w:val="07B4E7D2"/>
    <w:rsid w:val="07C91378"/>
    <w:rsid w:val="07F9FD66"/>
    <w:rsid w:val="0885A93A"/>
    <w:rsid w:val="08A4AFD4"/>
    <w:rsid w:val="08E6C188"/>
    <w:rsid w:val="08EB4CD3"/>
    <w:rsid w:val="08FC0522"/>
    <w:rsid w:val="0938BFBF"/>
    <w:rsid w:val="098C706C"/>
    <w:rsid w:val="099F0E20"/>
    <w:rsid w:val="09A14955"/>
    <w:rsid w:val="09AC190F"/>
    <w:rsid w:val="0A18D27B"/>
    <w:rsid w:val="0A805085"/>
    <w:rsid w:val="0A814DF2"/>
    <w:rsid w:val="0B0E25BD"/>
    <w:rsid w:val="0B6475DD"/>
    <w:rsid w:val="0B70B1D9"/>
    <w:rsid w:val="0BC14E7C"/>
    <w:rsid w:val="0C64946C"/>
    <w:rsid w:val="0D9E4D7B"/>
    <w:rsid w:val="0D9FE22F"/>
    <w:rsid w:val="0E7D26D3"/>
    <w:rsid w:val="0E9995AC"/>
    <w:rsid w:val="0F00AF9C"/>
    <w:rsid w:val="0F55B9A7"/>
    <w:rsid w:val="0F92FDF4"/>
    <w:rsid w:val="0F9F4D89"/>
    <w:rsid w:val="103861BC"/>
    <w:rsid w:val="1073B121"/>
    <w:rsid w:val="107A88BC"/>
    <w:rsid w:val="1197FF5A"/>
    <w:rsid w:val="119E0DA8"/>
    <w:rsid w:val="11A9A675"/>
    <w:rsid w:val="11C42DD7"/>
    <w:rsid w:val="12358D97"/>
    <w:rsid w:val="123A84BF"/>
    <w:rsid w:val="1257C2A8"/>
    <w:rsid w:val="1270FE6D"/>
    <w:rsid w:val="12778A07"/>
    <w:rsid w:val="12786FA6"/>
    <w:rsid w:val="128E111D"/>
    <w:rsid w:val="1292314C"/>
    <w:rsid w:val="12ADE2CA"/>
    <w:rsid w:val="131355C5"/>
    <w:rsid w:val="1338591A"/>
    <w:rsid w:val="134491F2"/>
    <w:rsid w:val="1363FF84"/>
    <w:rsid w:val="13D6ADFC"/>
    <w:rsid w:val="14002897"/>
    <w:rsid w:val="142F14D4"/>
    <w:rsid w:val="14E5A9AA"/>
    <w:rsid w:val="151815FB"/>
    <w:rsid w:val="155A29E5"/>
    <w:rsid w:val="15705B07"/>
    <w:rsid w:val="159EF8B7"/>
    <w:rsid w:val="15BD47BD"/>
    <w:rsid w:val="15F95A93"/>
    <w:rsid w:val="16B24FE0"/>
    <w:rsid w:val="16BDFE0C"/>
    <w:rsid w:val="17547D40"/>
    <w:rsid w:val="175E78E9"/>
    <w:rsid w:val="178AD5D3"/>
    <w:rsid w:val="178EDB7B"/>
    <w:rsid w:val="17AAC896"/>
    <w:rsid w:val="1833308C"/>
    <w:rsid w:val="188D0779"/>
    <w:rsid w:val="18A852D2"/>
    <w:rsid w:val="19636527"/>
    <w:rsid w:val="1997D5E9"/>
    <w:rsid w:val="19AA4B79"/>
    <w:rsid w:val="19AE785F"/>
    <w:rsid w:val="1A0768D6"/>
    <w:rsid w:val="1A25E2B0"/>
    <w:rsid w:val="1B072AE1"/>
    <w:rsid w:val="1BCE2FF8"/>
    <w:rsid w:val="1BFDADA4"/>
    <w:rsid w:val="1C85599C"/>
    <w:rsid w:val="1D70F72C"/>
    <w:rsid w:val="1DA0ADA7"/>
    <w:rsid w:val="1DBBFEA1"/>
    <w:rsid w:val="1DC7493A"/>
    <w:rsid w:val="1E5CDAB2"/>
    <w:rsid w:val="1F68C9EF"/>
    <w:rsid w:val="1F82C114"/>
    <w:rsid w:val="1F884551"/>
    <w:rsid w:val="1F88F4F2"/>
    <w:rsid w:val="1F9270B5"/>
    <w:rsid w:val="1FBE17F6"/>
    <w:rsid w:val="20FE5E45"/>
    <w:rsid w:val="219C8764"/>
    <w:rsid w:val="21A513C7"/>
    <w:rsid w:val="21C4D63A"/>
    <w:rsid w:val="21F8A7E2"/>
    <w:rsid w:val="22227288"/>
    <w:rsid w:val="22C4078E"/>
    <w:rsid w:val="233580E1"/>
    <w:rsid w:val="237619FD"/>
    <w:rsid w:val="23F76BCB"/>
    <w:rsid w:val="243FB466"/>
    <w:rsid w:val="24A76222"/>
    <w:rsid w:val="24F7473C"/>
    <w:rsid w:val="2536F20B"/>
    <w:rsid w:val="2541071F"/>
    <w:rsid w:val="25880BD2"/>
    <w:rsid w:val="258C06BC"/>
    <w:rsid w:val="2602903A"/>
    <w:rsid w:val="262DEF8A"/>
    <w:rsid w:val="26362770"/>
    <w:rsid w:val="26C99CCA"/>
    <w:rsid w:val="26E520E6"/>
    <w:rsid w:val="27CEF439"/>
    <w:rsid w:val="287D4956"/>
    <w:rsid w:val="28D06881"/>
    <w:rsid w:val="290F1B44"/>
    <w:rsid w:val="29499493"/>
    <w:rsid w:val="294BF580"/>
    <w:rsid w:val="29915C65"/>
    <w:rsid w:val="2A01308B"/>
    <w:rsid w:val="2A2D447B"/>
    <w:rsid w:val="2A399FEF"/>
    <w:rsid w:val="2A6F83A8"/>
    <w:rsid w:val="2AED801A"/>
    <w:rsid w:val="2B06B176"/>
    <w:rsid w:val="2B17FA57"/>
    <w:rsid w:val="2B769A89"/>
    <w:rsid w:val="2B9142C1"/>
    <w:rsid w:val="2B9ED91B"/>
    <w:rsid w:val="2BB546CA"/>
    <w:rsid w:val="2C59053A"/>
    <w:rsid w:val="2C5CC2B0"/>
    <w:rsid w:val="2C7A26C2"/>
    <w:rsid w:val="2CAE9022"/>
    <w:rsid w:val="2CB24660"/>
    <w:rsid w:val="2D46AC63"/>
    <w:rsid w:val="2D486FF4"/>
    <w:rsid w:val="2E436962"/>
    <w:rsid w:val="30212497"/>
    <w:rsid w:val="3063F0EF"/>
    <w:rsid w:val="30AFCBC8"/>
    <w:rsid w:val="30F334A1"/>
    <w:rsid w:val="31033664"/>
    <w:rsid w:val="310FEA4B"/>
    <w:rsid w:val="317E589F"/>
    <w:rsid w:val="318C0256"/>
    <w:rsid w:val="31D1756A"/>
    <w:rsid w:val="31D46282"/>
    <w:rsid w:val="31D8E6FF"/>
    <w:rsid w:val="31DDA3A2"/>
    <w:rsid w:val="31E09582"/>
    <w:rsid w:val="31EB8996"/>
    <w:rsid w:val="31ECAC77"/>
    <w:rsid w:val="3298DCF0"/>
    <w:rsid w:val="329F39CE"/>
    <w:rsid w:val="330486CC"/>
    <w:rsid w:val="33AA7079"/>
    <w:rsid w:val="33C15B09"/>
    <w:rsid w:val="33E2C66E"/>
    <w:rsid w:val="33EBEB34"/>
    <w:rsid w:val="34315188"/>
    <w:rsid w:val="34892634"/>
    <w:rsid w:val="34B951C9"/>
    <w:rsid w:val="34EDC481"/>
    <w:rsid w:val="34FBBC7C"/>
    <w:rsid w:val="3533E44F"/>
    <w:rsid w:val="354A0159"/>
    <w:rsid w:val="35CC66B6"/>
    <w:rsid w:val="35E79523"/>
    <w:rsid w:val="3606B8D5"/>
    <w:rsid w:val="368540F4"/>
    <w:rsid w:val="369036CF"/>
    <w:rsid w:val="36B6087E"/>
    <w:rsid w:val="36E6CAEE"/>
    <w:rsid w:val="37602646"/>
    <w:rsid w:val="37C3D9FA"/>
    <w:rsid w:val="37D9520B"/>
    <w:rsid w:val="38004CC0"/>
    <w:rsid w:val="380E71FC"/>
    <w:rsid w:val="384636B7"/>
    <w:rsid w:val="3851D8DF"/>
    <w:rsid w:val="38ABDBA3"/>
    <w:rsid w:val="38E97C31"/>
    <w:rsid w:val="3957679B"/>
    <w:rsid w:val="3963491A"/>
    <w:rsid w:val="398DA6A5"/>
    <w:rsid w:val="3998FBA6"/>
    <w:rsid w:val="39C39305"/>
    <w:rsid w:val="3A215278"/>
    <w:rsid w:val="3A622AAF"/>
    <w:rsid w:val="3AAA38DC"/>
    <w:rsid w:val="3ABAD03B"/>
    <w:rsid w:val="3AD3D7E2"/>
    <w:rsid w:val="3B51643C"/>
    <w:rsid w:val="3B60D12A"/>
    <w:rsid w:val="3B7D67C7"/>
    <w:rsid w:val="3C3AF04F"/>
    <w:rsid w:val="3C3C3795"/>
    <w:rsid w:val="3CBA4223"/>
    <w:rsid w:val="3D318D8A"/>
    <w:rsid w:val="3DB311AD"/>
    <w:rsid w:val="3DE8D8E6"/>
    <w:rsid w:val="3DF2CA29"/>
    <w:rsid w:val="3E978835"/>
    <w:rsid w:val="3EB4ABEE"/>
    <w:rsid w:val="3EDB90DE"/>
    <w:rsid w:val="3EE1C629"/>
    <w:rsid w:val="3EF10B3B"/>
    <w:rsid w:val="3FC05426"/>
    <w:rsid w:val="3FC184D5"/>
    <w:rsid w:val="3FF587F2"/>
    <w:rsid w:val="406B52A4"/>
    <w:rsid w:val="40AAFC1F"/>
    <w:rsid w:val="40B24605"/>
    <w:rsid w:val="40CA8AC3"/>
    <w:rsid w:val="41336993"/>
    <w:rsid w:val="41337AB3"/>
    <w:rsid w:val="415E4DA8"/>
    <w:rsid w:val="41B224D1"/>
    <w:rsid w:val="422C8369"/>
    <w:rsid w:val="4260E43C"/>
    <w:rsid w:val="426E2720"/>
    <w:rsid w:val="429A2DE0"/>
    <w:rsid w:val="4309B2A1"/>
    <w:rsid w:val="43232C37"/>
    <w:rsid w:val="4334FF81"/>
    <w:rsid w:val="4385B725"/>
    <w:rsid w:val="43DC8B7E"/>
    <w:rsid w:val="44090E7A"/>
    <w:rsid w:val="449FA9BD"/>
    <w:rsid w:val="4501CF4D"/>
    <w:rsid w:val="45207FEA"/>
    <w:rsid w:val="45D6F680"/>
    <w:rsid w:val="45EEC39D"/>
    <w:rsid w:val="46978F96"/>
    <w:rsid w:val="46B6D104"/>
    <w:rsid w:val="46C504E9"/>
    <w:rsid w:val="46D4F0A2"/>
    <w:rsid w:val="47079674"/>
    <w:rsid w:val="4770D403"/>
    <w:rsid w:val="47C25D62"/>
    <w:rsid w:val="47E0DDAB"/>
    <w:rsid w:val="4860D397"/>
    <w:rsid w:val="48CA1529"/>
    <w:rsid w:val="48CD61B4"/>
    <w:rsid w:val="48D22EEB"/>
    <w:rsid w:val="492A885F"/>
    <w:rsid w:val="4969B41D"/>
    <w:rsid w:val="4A08E0EA"/>
    <w:rsid w:val="4A1BBF86"/>
    <w:rsid w:val="4A80821C"/>
    <w:rsid w:val="4A8461EC"/>
    <w:rsid w:val="4AB6C70C"/>
    <w:rsid w:val="4AD08F5E"/>
    <w:rsid w:val="4AE96994"/>
    <w:rsid w:val="4B31A101"/>
    <w:rsid w:val="4BF6F582"/>
    <w:rsid w:val="4CDC854B"/>
    <w:rsid w:val="4D07869E"/>
    <w:rsid w:val="4D0F5B64"/>
    <w:rsid w:val="4D26F217"/>
    <w:rsid w:val="4D58C40E"/>
    <w:rsid w:val="4D5DFBBA"/>
    <w:rsid w:val="4D738AEB"/>
    <w:rsid w:val="4E37A846"/>
    <w:rsid w:val="4E6CDB31"/>
    <w:rsid w:val="4F00B2B2"/>
    <w:rsid w:val="4F024A3A"/>
    <w:rsid w:val="4F0F0485"/>
    <w:rsid w:val="4F19BFF9"/>
    <w:rsid w:val="4F285AE9"/>
    <w:rsid w:val="4F56A47E"/>
    <w:rsid w:val="4F618EAB"/>
    <w:rsid w:val="4F61A616"/>
    <w:rsid w:val="4FC904AD"/>
    <w:rsid w:val="4FF903F1"/>
    <w:rsid w:val="51219235"/>
    <w:rsid w:val="5131F85D"/>
    <w:rsid w:val="523984C9"/>
    <w:rsid w:val="5246E8CB"/>
    <w:rsid w:val="52C73D20"/>
    <w:rsid w:val="52CD171F"/>
    <w:rsid w:val="52EEC7B1"/>
    <w:rsid w:val="5309E2ED"/>
    <w:rsid w:val="530ED6C6"/>
    <w:rsid w:val="536C74B6"/>
    <w:rsid w:val="53784251"/>
    <w:rsid w:val="538B0D91"/>
    <w:rsid w:val="53F39164"/>
    <w:rsid w:val="5449F242"/>
    <w:rsid w:val="54837DBA"/>
    <w:rsid w:val="54C6ABCC"/>
    <w:rsid w:val="550667A5"/>
    <w:rsid w:val="5519CF91"/>
    <w:rsid w:val="55374D81"/>
    <w:rsid w:val="5585B458"/>
    <w:rsid w:val="55CCC2C1"/>
    <w:rsid w:val="56B139D8"/>
    <w:rsid w:val="56C8DA28"/>
    <w:rsid w:val="56F423E2"/>
    <w:rsid w:val="570AF806"/>
    <w:rsid w:val="574DB496"/>
    <w:rsid w:val="57781D2F"/>
    <w:rsid w:val="595D290C"/>
    <w:rsid w:val="597D2A88"/>
    <w:rsid w:val="59E24CD6"/>
    <w:rsid w:val="5A32A70E"/>
    <w:rsid w:val="5ABFCE3F"/>
    <w:rsid w:val="5AE0A85E"/>
    <w:rsid w:val="5B912722"/>
    <w:rsid w:val="5BDD9A1D"/>
    <w:rsid w:val="5BF1FA38"/>
    <w:rsid w:val="5C521CD4"/>
    <w:rsid w:val="5CA817AE"/>
    <w:rsid w:val="5CAE2003"/>
    <w:rsid w:val="5CB171AE"/>
    <w:rsid w:val="5CC988E2"/>
    <w:rsid w:val="5D8A714B"/>
    <w:rsid w:val="5DC5E3C2"/>
    <w:rsid w:val="5E9C4357"/>
    <w:rsid w:val="5EBCBF70"/>
    <w:rsid w:val="5EC4D451"/>
    <w:rsid w:val="5ECF7DCE"/>
    <w:rsid w:val="5ED742B7"/>
    <w:rsid w:val="5EE46A14"/>
    <w:rsid w:val="5EFBB107"/>
    <w:rsid w:val="5F2E969C"/>
    <w:rsid w:val="5F3EE116"/>
    <w:rsid w:val="5FFA8F6F"/>
    <w:rsid w:val="60060BA6"/>
    <w:rsid w:val="621E3B56"/>
    <w:rsid w:val="6260FB89"/>
    <w:rsid w:val="62B2C6CC"/>
    <w:rsid w:val="631AEC99"/>
    <w:rsid w:val="636B79F1"/>
    <w:rsid w:val="63D6DCDF"/>
    <w:rsid w:val="63E66814"/>
    <w:rsid w:val="6506A211"/>
    <w:rsid w:val="6602A556"/>
    <w:rsid w:val="66558ADB"/>
    <w:rsid w:val="66C8EF3A"/>
    <w:rsid w:val="66F88480"/>
    <w:rsid w:val="673A4D09"/>
    <w:rsid w:val="68472820"/>
    <w:rsid w:val="684FB0DE"/>
    <w:rsid w:val="68673E53"/>
    <w:rsid w:val="6868C7CE"/>
    <w:rsid w:val="6917D85B"/>
    <w:rsid w:val="69F18004"/>
    <w:rsid w:val="6A10D888"/>
    <w:rsid w:val="6A61E67E"/>
    <w:rsid w:val="6A63331F"/>
    <w:rsid w:val="6A853838"/>
    <w:rsid w:val="6AE0B849"/>
    <w:rsid w:val="6B0D8B20"/>
    <w:rsid w:val="6B161A25"/>
    <w:rsid w:val="6B1F10EA"/>
    <w:rsid w:val="6B3BDDBA"/>
    <w:rsid w:val="6B8CD4CC"/>
    <w:rsid w:val="6BE643B6"/>
    <w:rsid w:val="6BEADB40"/>
    <w:rsid w:val="6BEEE2A7"/>
    <w:rsid w:val="6D159406"/>
    <w:rsid w:val="6D1F0847"/>
    <w:rsid w:val="6D4854FA"/>
    <w:rsid w:val="6D6D1486"/>
    <w:rsid w:val="6DB51FD7"/>
    <w:rsid w:val="6DEE1255"/>
    <w:rsid w:val="6E54C84A"/>
    <w:rsid w:val="6EE3756A"/>
    <w:rsid w:val="6EE7638C"/>
    <w:rsid w:val="6F1A4C86"/>
    <w:rsid w:val="701A5664"/>
    <w:rsid w:val="701CBC29"/>
    <w:rsid w:val="702389CD"/>
    <w:rsid w:val="70414E6C"/>
    <w:rsid w:val="709E1CCE"/>
    <w:rsid w:val="70BBE142"/>
    <w:rsid w:val="70F5767A"/>
    <w:rsid w:val="7139BCFF"/>
    <w:rsid w:val="71C2A625"/>
    <w:rsid w:val="729EB090"/>
    <w:rsid w:val="72EBE8EC"/>
    <w:rsid w:val="72F3A969"/>
    <w:rsid w:val="732C72C8"/>
    <w:rsid w:val="7423A3D2"/>
    <w:rsid w:val="742F8704"/>
    <w:rsid w:val="74648D4F"/>
    <w:rsid w:val="74EF9EDE"/>
    <w:rsid w:val="750B73D2"/>
    <w:rsid w:val="755D2811"/>
    <w:rsid w:val="755ED5C6"/>
    <w:rsid w:val="75710A6E"/>
    <w:rsid w:val="768BF006"/>
    <w:rsid w:val="76968F40"/>
    <w:rsid w:val="76D15B9D"/>
    <w:rsid w:val="76F1D4EF"/>
    <w:rsid w:val="778B1118"/>
    <w:rsid w:val="77A32378"/>
    <w:rsid w:val="77B87735"/>
    <w:rsid w:val="78459FF6"/>
    <w:rsid w:val="789A7DD0"/>
    <w:rsid w:val="78B31706"/>
    <w:rsid w:val="78DE8F10"/>
    <w:rsid w:val="7945A388"/>
    <w:rsid w:val="7A57455D"/>
    <w:rsid w:val="7AB7FA37"/>
    <w:rsid w:val="7B42BCE0"/>
    <w:rsid w:val="7B49F390"/>
    <w:rsid w:val="7B6756EF"/>
    <w:rsid w:val="7B70EA70"/>
    <w:rsid w:val="7B993C9A"/>
    <w:rsid w:val="7C0FEFC2"/>
    <w:rsid w:val="7C25D106"/>
    <w:rsid w:val="7C3FB4B1"/>
    <w:rsid w:val="7C50DE3F"/>
    <w:rsid w:val="7CE1E727"/>
    <w:rsid w:val="7D08E4CD"/>
    <w:rsid w:val="7DDB2520"/>
    <w:rsid w:val="7E2620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784A3"/>
  <w15:chartTrackingRefBased/>
  <w15:docId w15:val="{266F9D10-3CB5-48B5-ACFB-E4D01234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20F"/>
    <w:pPr>
      <w:ind w:left="720"/>
      <w:contextualSpacing/>
    </w:pPr>
  </w:style>
  <w:style w:type="character" w:styleId="Hyperlink">
    <w:name w:val="Hyperlink"/>
    <w:basedOn w:val="DefaultParagraphFont"/>
    <w:uiPriority w:val="99"/>
    <w:unhideWhenUsed/>
    <w:rsid w:val="00746238"/>
    <w:rPr>
      <w:color w:val="0000FF"/>
      <w:u w:val="single"/>
    </w:rPr>
  </w:style>
  <w:style w:type="character" w:styleId="CommentReference">
    <w:name w:val="annotation reference"/>
    <w:basedOn w:val="DefaultParagraphFont"/>
    <w:uiPriority w:val="99"/>
    <w:semiHidden/>
    <w:unhideWhenUsed/>
    <w:rsid w:val="00564120"/>
    <w:rPr>
      <w:sz w:val="16"/>
      <w:szCs w:val="16"/>
    </w:rPr>
  </w:style>
  <w:style w:type="paragraph" w:styleId="CommentText">
    <w:name w:val="annotation text"/>
    <w:basedOn w:val="Normal"/>
    <w:link w:val="CommentTextChar"/>
    <w:uiPriority w:val="99"/>
    <w:unhideWhenUsed/>
    <w:rsid w:val="00564120"/>
    <w:pPr>
      <w:spacing w:line="240" w:lineRule="auto"/>
    </w:pPr>
    <w:rPr>
      <w:sz w:val="20"/>
      <w:szCs w:val="20"/>
    </w:rPr>
  </w:style>
  <w:style w:type="character" w:customStyle="1" w:styleId="CommentTextChar">
    <w:name w:val="Comment Text Char"/>
    <w:basedOn w:val="DefaultParagraphFont"/>
    <w:link w:val="CommentText"/>
    <w:uiPriority w:val="99"/>
    <w:rsid w:val="00564120"/>
    <w:rPr>
      <w:sz w:val="20"/>
      <w:szCs w:val="20"/>
    </w:rPr>
  </w:style>
  <w:style w:type="paragraph" w:styleId="CommentSubject">
    <w:name w:val="annotation subject"/>
    <w:basedOn w:val="CommentText"/>
    <w:next w:val="CommentText"/>
    <w:link w:val="CommentSubjectChar"/>
    <w:uiPriority w:val="99"/>
    <w:semiHidden/>
    <w:unhideWhenUsed/>
    <w:rsid w:val="00564120"/>
    <w:rPr>
      <w:b/>
      <w:bCs/>
    </w:rPr>
  </w:style>
  <w:style w:type="character" w:customStyle="1" w:styleId="CommentSubjectChar">
    <w:name w:val="Comment Subject Char"/>
    <w:basedOn w:val="CommentTextChar"/>
    <w:link w:val="CommentSubject"/>
    <w:uiPriority w:val="99"/>
    <w:semiHidden/>
    <w:rsid w:val="00564120"/>
    <w:rPr>
      <w:b/>
      <w:bCs/>
      <w:sz w:val="20"/>
      <w:szCs w:val="20"/>
    </w:rPr>
  </w:style>
  <w:style w:type="character" w:styleId="Mention">
    <w:name w:val="Mention"/>
    <w:basedOn w:val="DefaultParagraphFont"/>
    <w:uiPriority w:val="99"/>
    <w:unhideWhenUsed/>
    <w:rsid w:val="00564120"/>
    <w:rPr>
      <w:color w:val="2B579A"/>
      <w:shd w:val="clear" w:color="auto" w:fill="E1DFDD"/>
    </w:rPr>
  </w:style>
  <w:style w:type="character" w:styleId="UnresolvedMention">
    <w:name w:val="Unresolved Mention"/>
    <w:basedOn w:val="DefaultParagraphFont"/>
    <w:uiPriority w:val="99"/>
    <w:semiHidden/>
    <w:unhideWhenUsed/>
    <w:rsid w:val="000D156A"/>
    <w:rPr>
      <w:color w:val="605E5C"/>
      <w:shd w:val="clear" w:color="auto" w:fill="E1DFDD"/>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D7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AD2"/>
  </w:style>
  <w:style w:type="paragraph" w:styleId="Footer">
    <w:name w:val="footer"/>
    <w:basedOn w:val="Normal"/>
    <w:link w:val="FooterChar"/>
    <w:uiPriority w:val="99"/>
    <w:unhideWhenUsed/>
    <w:rsid w:val="00FD7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AD2"/>
  </w:style>
  <w:style w:type="paragraph" w:styleId="Revision">
    <w:name w:val="Revision"/>
    <w:hidden/>
    <w:uiPriority w:val="99"/>
    <w:semiHidden/>
    <w:rsid w:val="00745E35"/>
    <w:pPr>
      <w:spacing w:after="0" w:line="240" w:lineRule="auto"/>
    </w:pPr>
  </w:style>
  <w:style w:type="character" w:styleId="FollowedHyperlink">
    <w:name w:val="FollowedHyperlink"/>
    <w:basedOn w:val="DefaultParagraphFont"/>
    <w:uiPriority w:val="99"/>
    <w:semiHidden/>
    <w:unhideWhenUsed/>
    <w:rsid w:val="00A61C3A"/>
    <w:rPr>
      <w:color w:val="954F72"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746428"/>
    <w:rPr>
      <w:color w:val="666666"/>
    </w:rPr>
  </w:style>
  <w:style w:type="paragraph" w:customStyle="1" w:styleId="Bibliography1">
    <w:name w:val="Bibliography1"/>
    <w:basedOn w:val="Normal"/>
    <w:rsid w:val="00746428"/>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 w:type="character" w:styleId="LineNumber">
    <w:name w:val="line number"/>
    <w:basedOn w:val="DefaultParagraphFont"/>
    <w:uiPriority w:val="99"/>
    <w:semiHidden/>
    <w:unhideWhenUsed/>
    <w:rsid w:val="006563F6"/>
  </w:style>
  <w:style w:type="paragraph" w:styleId="Caption">
    <w:name w:val="caption"/>
    <w:basedOn w:val="Normal"/>
    <w:next w:val="Normal"/>
    <w:uiPriority w:val="35"/>
    <w:unhideWhenUsed/>
    <w:qFormat/>
    <w:rsid w:val="000E03B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2389">
      <w:bodyDiv w:val="1"/>
      <w:marLeft w:val="0"/>
      <w:marRight w:val="0"/>
      <w:marTop w:val="0"/>
      <w:marBottom w:val="0"/>
      <w:divBdr>
        <w:top w:val="none" w:sz="0" w:space="0" w:color="auto"/>
        <w:left w:val="none" w:sz="0" w:space="0" w:color="auto"/>
        <w:bottom w:val="none" w:sz="0" w:space="0" w:color="auto"/>
        <w:right w:val="none" w:sz="0" w:space="0" w:color="auto"/>
      </w:divBdr>
    </w:div>
    <w:div w:id="70196617">
      <w:bodyDiv w:val="1"/>
      <w:marLeft w:val="0"/>
      <w:marRight w:val="0"/>
      <w:marTop w:val="0"/>
      <w:marBottom w:val="0"/>
      <w:divBdr>
        <w:top w:val="none" w:sz="0" w:space="0" w:color="auto"/>
        <w:left w:val="none" w:sz="0" w:space="0" w:color="auto"/>
        <w:bottom w:val="none" w:sz="0" w:space="0" w:color="auto"/>
        <w:right w:val="none" w:sz="0" w:space="0" w:color="auto"/>
      </w:divBdr>
    </w:div>
    <w:div w:id="248543723">
      <w:bodyDiv w:val="1"/>
      <w:marLeft w:val="0"/>
      <w:marRight w:val="0"/>
      <w:marTop w:val="0"/>
      <w:marBottom w:val="0"/>
      <w:divBdr>
        <w:top w:val="none" w:sz="0" w:space="0" w:color="auto"/>
        <w:left w:val="none" w:sz="0" w:space="0" w:color="auto"/>
        <w:bottom w:val="none" w:sz="0" w:space="0" w:color="auto"/>
        <w:right w:val="none" w:sz="0" w:space="0" w:color="auto"/>
      </w:divBdr>
    </w:div>
    <w:div w:id="474376562">
      <w:bodyDiv w:val="1"/>
      <w:marLeft w:val="0"/>
      <w:marRight w:val="0"/>
      <w:marTop w:val="0"/>
      <w:marBottom w:val="0"/>
      <w:divBdr>
        <w:top w:val="none" w:sz="0" w:space="0" w:color="auto"/>
        <w:left w:val="none" w:sz="0" w:space="0" w:color="auto"/>
        <w:bottom w:val="none" w:sz="0" w:space="0" w:color="auto"/>
        <w:right w:val="none" w:sz="0" w:space="0" w:color="auto"/>
      </w:divBdr>
    </w:div>
    <w:div w:id="526910758">
      <w:bodyDiv w:val="1"/>
      <w:marLeft w:val="0"/>
      <w:marRight w:val="0"/>
      <w:marTop w:val="0"/>
      <w:marBottom w:val="0"/>
      <w:divBdr>
        <w:top w:val="none" w:sz="0" w:space="0" w:color="auto"/>
        <w:left w:val="none" w:sz="0" w:space="0" w:color="auto"/>
        <w:bottom w:val="none" w:sz="0" w:space="0" w:color="auto"/>
        <w:right w:val="none" w:sz="0" w:space="0" w:color="auto"/>
      </w:divBdr>
    </w:div>
    <w:div w:id="683819990">
      <w:bodyDiv w:val="1"/>
      <w:marLeft w:val="0"/>
      <w:marRight w:val="0"/>
      <w:marTop w:val="0"/>
      <w:marBottom w:val="0"/>
      <w:divBdr>
        <w:top w:val="none" w:sz="0" w:space="0" w:color="auto"/>
        <w:left w:val="none" w:sz="0" w:space="0" w:color="auto"/>
        <w:bottom w:val="none" w:sz="0" w:space="0" w:color="auto"/>
        <w:right w:val="none" w:sz="0" w:space="0" w:color="auto"/>
      </w:divBdr>
    </w:div>
    <w:div w:id="1049190144">
      <w:bodyDiv w:val="1"/>
      <w:marLeft w:val="0"/>
      <w:marRight w:val="0"/>
      <w:marTop w:val="0"/>
      <w:marBottom w:val="0"/>
      <w:divBdr>
        <w:top w:val="none" w:sz="0" w:space="0" w:color="auto"/>
        <w:left w:val="none" w:sz="0" w:space="0" w:color="auto"/>
        <w:bottom w:val="none" w:sz="0" w:space="0" w:color="auto"/>
        <w:right w:val="none" w:sz="0" w:space="0" w:color="auto"/>
      </w:divBdr>
    </w:div>
    <w:div w:id="1322352294">
      <w:bodyDiv w:val="1"/>
      <w:marLeft w:val="0"/>
      <w:marRight w:val="0"/>
      <w:marTop w:val="0"/>
      <w:marBottom w:val="0"/>
      <w:divBdr>
        <w:top w:val="none" w:sz="0" w:space="0" w:color="auto"/>
        <w:left w:val="none" w:sz="0" w:space="0" w:color="auto"/>
        <w:bottom w:val="none" w:sz="0" w:space="0" w:color="auto"/>
        <w:right w:val="none" w:sz="0" w:space="0" w:color="auto"/>
      </w:divBdr>
    </w:div>
    <w:div w:id="1725180093">
      <w:bodyDiv w:val="1"/>
      <w:marLeft w:val="0"/>
      <w:marRight w:val="0"/>
      <w:marTop w:val="0"/>
      <w:marBottom w:val="0"/>
      <w:divBdr>
        <w:top w:val="none" w:sz="0" w:space="0" w:color="auto"/>
        <w:left w:val="none" w:sz="0" w:space="0" w:color="auto"/>
        <w:bottom w:val="none" w:sz="0" w:space="0" w:color="auto"/>
        <w:right w:val="none" w:sz="0" w:space="0" w:color="auto"/>
      </w:divBdr>
    </w:div>
    <w:div w:id="1760716407">
      <w:bodyDiv w:val="1"/>
      <w:marLeft w:val="0"/>
      <w:marRight w:val="0"/>
      <w:marTop w:val="0"/>
      <w:marBottom w:val="0"/>
      <w:divBdr>
        <w:top w:val="none" w:sz="0" w:space="0" w:color="auto"/>
        <w:left w:val="none" w:sz="0" w:space="0" w:color="auto"/>
        <w:bottom w:val="none" w:sz="0" w:space="0" w:color="auto"/>
        <w:right w:val="none" w:sz="0" w:space="0" w:color="auto"/>
      </w:divBdr>
    </w:div>
    <w:div w:id="1781223077">
      <w:bodyDiv w:val="1"/>
      <w:marLeft w:val="0"/>
      <w:marRight w:val="0"/>
      <w:marTop w:val="0"/>
      <w:marBottom w:val="0"/>
      <w:divBdr>
        <w:top w:val="none" w:sz="0" w:space="0" w:color="auto"/>
        <w:left w:val="none" w:sz="0" w:space="0" w:color="auto"/>
        <w:bottom w:val="none" w:sz="0" w:space="0" w:color="auto"/>
        <w:right w:val="none" w:sz="0" w:space="0" w:color="auto"/>
      </w:divBdr>
    </w:div>
    <w:div w:id="179366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fda.gov/media/142162/download" TargetMode="External"/><Relationship Id="rId3" Type="http://schemas.openxmlformats.org/officeDocument/2006/relationships/hyperlink" Target="https://academic.oup.com/cid/article-abstract/78/2/259/7280930" TargetMode="External"/><Relationship Id="rId7" Type="http://schemas.openxmlformats.org/officeDocument/2006/relationships/hyperlink" Target="https://www.fda.gov/media/85233/download?attachment" TargetMode="External"/><Relationship Id="rId2" Type="http://schemas.openxmlformats.org/officeDocument/2006/relationships/hyperlink" Target="https://pubmed.ncbi.nlm.nih.gov/37179006/" TargetMode="External"/><Relationship Id="rId1" Type="http://schemas.openxmlformats.org/officeDocument/2006/relationships/hyperlink" Target="https://www.squire-statement.org/document/docWindow.cfm?fuseaction=document.viewDocument&amp;ID=F591EBB571FC9593C7A5CEE7561F35DC5C608AE0404F1E537A5DF2F1E483E65F406F45FC09FB05592B3E146423F851EC" TargetMode="External"/><Relationship Id="rId6" Type="http://schemas.openxmlformats.org/officeDocument/2006/relationships/hyperlink" Target="https://academic.oup.com/ofid/article/12/Supplement_2/S1391/8296816" TargetMode="External"/><Relationship Id="rId11" Type="http://schemas.openxmlformats.org/officeDocument/2006/relationships/hyperlink" Target="https://academic.oup.com/clinchem/article/69/11/1317/7265356" TargetMode="External"/><Relationship Id="rId5" Type="http://schemas.openxmlformats.org/officeDocument/2006/relationships/hyperlink" Target="https://www.thelancet.com/journals/lancet/article/PIIS0140-6736(02)07500-1/fulltext" TargetMode="External"/><Relationship Id="rId10" Type="http://schemas.openxmlformats.org/officeDocument/2006/relationships/hyperlink" Target="https://oslm.ifcc.org/search" TargetMode="External"/><Relationship Id="rId4" Type="http://schemas.openxmlformats.org/officeDocument/2006/relationships/hyperlink" Target="https://www.thelancet.com/journals/lancet/article/PIIS0140-6736(02)07500-1/fulltext" TargetMode="External"/><Relationship Id="rId9" Type="http://schemas.openxmlformats.org/officeDocument/2006/relationships/hyperlink" Target="https://ec.europa.eu/eurostat/statistics-explained/index.php?title=Territorial_typologies_manual_-_urban-rural_typology"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ers.usda.gov/data-products/rural-urban-continuum-cod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nccih.nih.gov/health/providers/clinicalpractice"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cdc.gov/nchs/data-analysis-tools/urban-rural.html?CDC_AAref_Val=https://www.cdc.gov/nchs/data_access/urban_rural.htm" TargetMode="External"/><Relationship Id="rId25" Type="http://schemas.openxmlformats.org/officeDocument/2006/relationships/hyperlink" Target="https://single-market-economy.ec.europa.eu/single-market/goods/ce-marking_en" TargetMode="External"/><Relationship Id="rId2" Type="http://schemas.openxmlformats.org/officeDocument/2006/relationships/customXml" Target="../customXml/item2.xml"/><Relationship Id="rId16" Type="http://schemas.openxmlformats.org/officeDocument/2006/relationships/hyperlink" Target="https://www.strobe-statement.org/" TargetMode="External"/><Relationship Id="rId20" Type="http://schemas.openxmlformats.org/officeDocument/2006/relationships/hyperlink" Target="https://www.merckmanuals.com/professional/special-subjects/clinical-decision-making/clinical-decision-making-strategie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effectivehealthcare.ahrq.gov/about/srdr-reflections" TargetMode="External"/><Relationship Id="rId5" Type="http://schemas.openxmlformats.org/officeDocument/2006/relationships/numbering" Target="numbering.xml"/><Relationship Id="rId15" Type="http://schemas.openxmlformats.org/officeDocument/2006/relationships/hyperlink" Target="https://asmteam365-my.sharepoint.com/:w:/g/personal/njackson_asmusa_org/ESSonlcx8XdJqkFThCIOylEBSDxC-fp1y4aCWqSHRayIEw?e=rC0TCw" TargetMode="External"/><Relationship Id="rId23" Type="http://schemas.openxmlformats.org/officeDocument/2006/relationships/hyperlink" Target="https://greynet.org/images/GL12_S1P"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census.gov/programs-surveys/geography/guidance/geo-areas/urban-rural.html"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uptodate.com/contents/overview-of-clinical-practice-guidelines/print" TargetMode="External"/><Relationship Id="rId27" Type="http://schemas.openxmlformats.org/officeDocument/2006/relationships/fontTable" Target="fontTable.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1B2EADDC-96C6-4390-B61C-24465BB63653}">
    <t:Anchor>
      <t:Comment id="675538229"/>
    </t:Anchor>
    <t:History>
      <t:Event id="{C1136122-6BB2-4881-B026-A1CC4DA13F6E}" time="2023-06-26T14:21:41.369Z">
        <t:Attribution userId="S::pmcnult@asmusa.org::2622bb05-aa12-40de-bc2e-3205c0b80369" userProvider="AD" userName="Peggy McNult"/>
        <t:Anchor>
          <t:Comment id="675538229"/>
        </t:Anchor>
        <t:Create/>
      </t:Event>
      <t:Event id="{8034874B-363A-4D86-B78E-5A6147D7AC59}" time="2023-06-26T14:21:41.369Z">
        <t:Attribution userId="S::pmcnult@asmusa.org::2622bb05-aa12-40de-bc2e-3205c0b80369" userProvider="AD" userName="Peggy McNult"/>
        <t:Anchor>
          <t:Comment id="675538229"/>
        </t:Anchor>
        <t:Assign userId="S::plarkin@asmusa.org::0ba27f7b-4dd7-4075-9784-e0a6e166bb0e" userProvider="AD" userName="Paige Larkin"/>
      </t:Event>
      <t:Event id="{44CEA957-A1FC-4463-A02C-F25A4E431FCC}" time="2023-06-26T14:21:41.369Z">
        <t:Attribution userId="S::pmcnult@asmusa.org::2622bb05-aa12-40de-bc2e-3205c0b80369" userProvider="AD" userName="Peggy McNult"/>
        <t:Anchor>
          <t:Comment id="675538229"/>
        </t:Anchor>
        <t:SetTitle title="@Paige Larkin The goal is to publish this, right?"/>
      </t:Event>
      <t:Event id="{8E40800A-1F3D-4902-A500-EBEE8D7294DB}" time="2023-06-27T16:03:32.533Z">
        <t:Attribution userId="S::plarkin@asmusa.org::0ba27f7b-4dd7-4075-9784-e0a6e166bb0e" userProvider="AD" userName="Paige Larki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9B583C1-BEE4-435D-8134-70950F96F78C}"/>
      </w:docPartPr>
      <w:docPartBody>
        <w:p w:rsidR="00F463AF" w:rsidRDefault="00C254EC">
          <w:r w:rsidRPr="003E3B7C">
            <w:rPr>
              <w:rStyle w:val="PlaceholderText"/>
            </w:rPr>
            <w:t>Click or tap here to enter text.</w:t>
          </w:r>
        </w:p>
      </w:docPartBody>
    </w:docPart>
    <w:docPart>
      <w:docPartPr>
        <w:name w:val="5F37B5D5C01E4214B9D8956645830975"/>
        <w:category>
          <w:name w:val="General"/>
          <w:gallery w:val="placeholder"/>
        </w:category>
        <w:types>
          <w:type w:val="bbPlcHdr"/>
        </w:types>
        <w:behaviors>
          <w:behavior w:val="content"/>
        </w:behaviors>
        <w:guid w:val="{03310C4E-A93D-4083-B0DA-1FC2EA11775A}"/>
      </w:docPartPr>
      <w:docPartBody>
        <w:p w:rsidR="005D65F2" w:rsidRDefault="00EA63EB" w:rsidP="00EA63EB">
          <w:pPr>
            <w:pStyle w:val="5F37B5D5C01E4214B9D8956645830975"/>
          </w:pPr>
          <w:r w:rsidRPr="003E3B7C">
            <w:rPr>
              <w:rStyle w:val="PlaceholderText"/>
            </w:rPr>
            <w:t>Click or tap here to enter text.</w:t>
          </w:r>
        </w:p>
      </w:docPartBody>
    </w:docPart>
    <w:docPart>
      <w:docPartPr>
        <w:name w:val="13B3A6CD4F6441F5823CE82A1102698A"/>
        <w:category>
          <w:name w:val="General"/>
          <w:gallery w:val="placeholder"/>
        </w:category>
        <w:types>
          <w:type w:val="bbPlcHdr"/>
        </w:types>
        <w:behaviors>
          <w:behavior w:val="content"/>
        </w:behaviors>
        <w:guid w:val="{E0F73D02-DA36-4C34-AE6F-578D1D7197BA}"/>
      </w:docPartPr>
      <w:docPartBody>
        <w:p w:rsidR="00A41740" w:rsidRDefault="00553FC3" w:rsidP="00553FC3">
          <w:pPr>
            <w:pStyle w:val="13B3A6CD4F6441F5823CE82A1102698A"/>
          </w:pPr>
          <w:r w:rsidRPr="003E3B7C">
            <w:rPr>
              <w:rStyle w:val="PlaceholderText"/>
            </w:rPr>
            <w:t>Click or tap here to enter text.</w:t>
          </w:r>
        </w:p>
      </w:docPartBody>
    </w:docPart>
    <w:docPart>
      <w:docPartPr>
        <w:name w:val="95650CBC8121416DA673E8938013A486"/>
        <w:category>
          <w:name w:val="General"/>
          <w:gallery w:val="placeholder"/>
        </w:category>
        <w:types>
          <w:type w:val="bbPlcHdr"/>
        </w:types>
        <w:behaviors>
          <w:behavior w:val="content"/>
        </w:behaviors>
        <w:guid w:val="{7CEA2C6A-FE49-4527-8563-E6EAB634EE0F}"/>
      </w:docPartPr>
      <w:docPartBody>
        <w:p w:rsidR="00306F19" w:rsidRDefault="00C93AFC" w:rsidP="00C93AFC">
          <w:pPr>
            <w:pStyle w:val="95650CBC8121416DA673E8938013A486"/>
          </w:pPr>
          <w:r w:rsidRPr="003E3B7C">
            <w:rPr>
              <w:rStyle w:val="PlaceholderText"/>
            </w:rPr>
            <w:t>Click or tap here to enter text.</w:t>
          </w:r>
        </w:p>
      </w:docPartBody>
    </w:docPart>
    <w:docPart>
      <w:docPartPr>
        <w:name w:val="0BB443ED8D0848C18F65EFBE9FBB7FB2"/>
        <w:category>
          <w:name w:val="General"/>
          <w:gallery w:val="placeholder"/>
        </w:category>
        <w:types>
          <w:type w:val="bbPlcHdr"/>
        </w:types>
        <w:behaviors>
          <w:behavior w:val="content"/>
        </w:behaviors>
        <w:guid w:val="{22A90D81-C5B1-4B4D-8FBE-A5E62CAFFBFE}"/>
      </w:docPartPr>
      <w:docPartBody>
        <w:p w:rsidR="00306F19" w:rsidRDefault="00C93AFC" w:rsidP="00C93AFC">
          <w:pPr>
            <w:pStyle w:val="0BB443ED8D0848C18F65EFBE9FBB7FB2"/>
          </w:pPr>
          <w:r w:rsidRPr="003E3B7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4EC"/>
    <w:rsid w:val="000261A9"/>
    <w:rsid w:val="000E150B"/>
    <w:rsid w:val="00115B50"/>
    <w:rsid w:val="0015367D"/>
    <w:rsid w:val="00285B3B"/>
    <w:rsid w:val="00306F19"/>
    <w:rsid w:val="00315A04"/>
    <w:rsid w:val="003A36BE"/>
    <w:rsid w:val="00553FC3"/>
    <w:rsid w:val="00567978"/>
    <w:rsid w:val="005D65F2"/>
    <w:rsid w:val="006210CF"/>
    <w:rsid w:val="006E3FC9"/>
    <w:rsid w:val="007378A5"/>
    <w:rsid w:val="007A6D42"/>
    <w:rsid w:val="00806AF5"/>
    <w:rsid w:val="00902500"/>
    <w:rsid w:val="0097207D"/>
    <w:rsid w:val="009802B9"/>
    <w:rsid w:val="009D72D2"/>
    <w:rsid w:val="009E7457"/>
    <w:rsid w:val="009F30D8"/>
    <w:rsid w:val="009F638D"/>
    <w:rsid w:val="00A41740"/>
    <w:rsid w:val="00A43A34"/>
    <w:rsid w:val="00B06979"/>
    <w:rsid w:val="00BC6EC8"/>
    <w:rsid w:val="00C0408A"/>
    <w:rsid w:val="00C254EC"/>
    <w:rsid w:val="00C72A66"/>
    <w:rsid w:val="00C93AFC"/>
    <w:rsid w:val="00E57187"/>
    <w:rsid w:val="00EA63EB"/>
    <w:rsid w:val="00F463AF"/>
    <w:rsid w:val="00F86DC4"/>
    <w:rsid w:val="00FA5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3AFC"/>
    <w:rPr>
      <w:color w:val="666666"/>
    </w:rPr>
  </w:style>
  <w:style w:type="paragraph" w:customStyle="1" w:styleId="5F37B5D5C01E4214B9D8956645830975">
    <w:name w:val="5F37B5D5C01E4214B9D8956645830975"/>
    <w:rsid w:val="00EA63EB"/>
  </w:style>
  <w:style w:type="paragraph" w:customStyle="1" w:styleId="13B3A6CD4F6441F5823CE82A1102698A">
    <w:name w:val="13B3A6CD4F6441F5823CE82A1102698A"/>
    <w:rsid w:val="00553FC3"/>
  </w:style>
  <w:style w:type="paragraph" w:customStyle="1" w:styleId="95650CBC8121416DA673E8938013A486">
    <w:name w:val="95650CBC8121416DA673E8938013A486"/>
    <w:rsid w:val="00C93AFC"/>
  </w:style>
  <w:style w:type="paragraph" w:customStyle="1" w:styleId="0BB443ED8D0848C18F65EFBE9FBB7FB2">
    <w:name w:val="0BB443ED8D0848C18F65EFBE9FBB7FB2"/>
    <w:rsid w:val="00C93A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054CD6-A882-4A23-A68B-158477186194}">
  <we:reference id="wa104380917" version="1.0.1.0" store="en-US" storeType="OMEX"/>
  <we:alternateReferences>
    <we:reference id="wa104380917" version="1.0.1.0" store="wa10438091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6" ma:contentTypeDescription="Create a new document." ma:contentTypeScope="" ma:versionID="a1c44243634b9ed2fcd1255729417c97">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46afbfedbf4bc9db567c792201da8788"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37f227-d4b0-4ba5-a15d-6fbeaf9c4a08}"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97C5F-6F40-48A2-B28B-82F8BB348DB9}">
  <ds:schemaRefs>
    <ds:schemaRef ds:uri="http://schemas.microsoft.com/office/2006/metadata/properties"/>
    <ds:schemaRef ds:uri="http://schemas.microsoft.com/office/infopath/2007/PartnerControls"/>
    <ds:schemaRef ds:uri="60253ea7-35f4-4dd6-b378-a686d1967733"/>
    <ds:schemaRef ds:uri="5209ea11-3884-410a-a436-0e0e9fa818b1"/>
  </ds:schemaRefs>
</ds:datastoreItem>
</file>

<file path=customXml/itemProps2.xml><?xml version="1.0" encoding="utf-8"?>
<ds:datastoreItem xmlns:ds="http://schemas.openxmlformats.org/officeDocument/2006/customXml" ds:itemID="{CC25A6DC-50E4-417A-8750-25F4DF736F94}">
  <ds:schemaRefs>
    <ds:schemaRef ds:uri="http://schemas.microsoft.com/sharepoint/v3/contenttype/forms"/>
  </ds:schemaRefs>
</ds:datastoreItem>
</file>

<file path=customXml/itemProps3.xml><?xml version="1.0" encoding="utf-8"?>
<ds:datastoreItem xmlns:ds="http://schemas.openxmlformats.org/officeDocument/2006/customXml" ds:itemID="{260F9B35-E21A-4BFB-96F6-A3D0FFB07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9ea11-3884-410a-a436-0e0e9fa818b1"/>
    <ds:schemaRef ds:uri="60253ea7-35f4-4dd6-b378-a686d1967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238BB4-EE93-4DDB-B3E8-380A6877C200}">
  <ds:schemaRefs>
    <ds:schemaRef ds:uri="http://schemas.openxmlformats.org/officeDocument/2006/bibliography"/>
  </ds:schemaRefs>
</ds:datastoreItem>
</file>

<file path=docMetadata/LabelInfo.xml><?xml version="1.0" encoding="utf-8"?>
<clbl:labelList xmlns:clbl="http://schemas.microsoft.com/office/2020/mipLabelMetadata">
  <clbl:label id="{84a28940-b464-41c3-ba3b-b4fa6665bc05}" enabled="0" method="" siteId="{84a28940-b464-41c3-ba3b-b4fa6665bc05}" removed="1"/>
</clbl:labelList>
</file>

<file path=docProps/app.xml><?xml version="1.0" encoding="utf-8"?>
<Properties xmlns="http://schemas.openxmlformats.org/officeDocument/2006/extended-properties" xmlns:vt="http://schemas.openxmlformats.org/officeDocument/2006/docPropsVTypes">
  <Template>Normal</Template>
  <TotalTime>268</TotalTime>
  <Pages>41</Pages>
  <Words>10498</Words>
  <Characters>59845</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Larkin</dc:creator>
  <cp:keywords/>
  <dc:description/>
  <cp:lastModifiedBy>Krisna Patel, MPH</cp:lastModifiedBy>
  <cp:revision>92</cp:revision>
  <cp:lastPrinted>2026-10-09T18:05:00Z</cp:lastPrinted>
  <dcterms:created xsi:type="dcterms:W3CDTF">2026-10-09T15:34:00Z</dcterms:created>
  <dcterms:modified xsi:type="dcterms:W3CDTF">2026-10-15T19:45:00Z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ef95828fdb386dc0445f60506f175d238d2f152e841596aa8f7ab6d00ad6bc4d</vt:lpwstr>
  </property>
  <property fmtid="{D5CDD505-2E9C-101B-9397-08002B2CF9AE}" pid="3" name="MSIP_Label_7b94a7b8-f06c-4dfe-bdcc-9b548fd58c31_Enabled">
    <vt:lpwstr>true</vt:lpwstr>
  </property>
  <property fmtid="{D5CDD505-2E9C-101B-9397-08002B2CF9AE}" pid="4" name="MSIP_Label_7b94a7b8-f06c-4dfe-bdcc-9b548fd58c31_SetDate">
    <vt:lpwstr>2024-09-20T19:07:26Z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bd329684-c4f8-456e-a7be-b4721aaac50a</vt:lpwstr>
  </property>
  <property fmtid="{D5CDD505-2E9C-101B-9397-08002B2CF9AE}" pid="9" name="MSIP_Label_7b94a7b8-f06c-4dfe-bdcc-9b548fd58c31_ContentBits">
    <vt:lpwstr>0</vt:lpwstr>
  </property>
  <property fmtid="{D5CDD505-2E9C-101B-9397-08002B2CF9AE}" pid="10" name="ContentTypeId">
    <vt:lpwstr>0x010100AFA99CD3DF87B34DA71835D03ADFAC51</vt:lpwstr>
  </property>
</Properties>
</file>