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991C80" w14:textId="77777777" w:rsidR="00002FB7" w:rsidRDefault="00000000">
      <w:pPr>
        <w:jc w:val="center"/>
      </w:pPr>
      <w:r>
        <w:rPr>
          <w:b/>
          <w:color w:val="2F75B5"/>
          <w:sz w:val="24"/>
        </w:rPr>
        <w:t>BLOCK 2</w:t>
      </w:r>
    </w:p>
    <w:p w14:paraId="0BE722A9" w14:textId="7EF4A1C9" w:rsidR="00002FB7" w:rsidRDefault="00000000">
      <w:pPr>
        <w:pStyle w:val="Title"/>
        <w:jc w:val="center"/>
      </w:pPr>
      <w:r>
        <w:t>Using GPTs to Analyze</w:t>
      </w:r>
      <w:r w:rsidR="00047D9F">
        <w:t xml:space="preserve"> </w:t>
      </w:r>
      <w:r>
        <w:t>POCT Content</w:t>
      </w:r>
    </w:p>
    <w:p w14:paraId="3D295DCC" w14:textId="77777777" w:rsidR="00002FB7" w:rsidRDefault="00000000">
      <w:pPr>
        <w:jc w:val="center"/>
      </w:pPr>
      <w:r>
        <w:rPr>
          <w:color w:val="666666"/>
          <w:sz w:val="24"/>
        </w:rPr>
        <w:t>15-minute hands-on workshop for procedures, policies, checklists, and quality documents</w:t>
      </w:r>
    </w:p>
    <w:p w14:paraId="770041FC" w14:textId="77777777" w:rsidR="00002FB7" w:rsidRDefault="00002FB7"/>
    <w:tbl>
      <w:tblPr>
        <w:tblW w:w="0" w:type="auto"/>
        <w:jc w:val="center"/>
        <w:tblLook w:val="04A0" w:firstRow="1" w:lastRow="0" w:firstColumn="1" w:lastColumn="0" w:noHBand="0" w:noVBand="1"/>
      </w:tblPr>
      <w:tblGrid>
        <w:gridCol w:w="10368"/>
      </w:tblGrid>
      <w:tr w:rsidR="00002FB7" w14:paraId="203E7FA5" w14:textId="77777777">
        <w:trPr>
          <w:jc w:val="center"/>
        </w:trPr>
        <w:tc>
          <w:tcPr>
            <w:tcW w:w="10368" w:type="dxa"/>
            <w:shd w:val="clear" w:color="auto" w:fill="D9EAF7"/>
            <w:tcMar>
              <w:top w:w="100" w:type="dxa"/>
              <w:left w:w="130" w:type="dxa"/>
              <w:bottom w:w="100" w:type="dxa"/>
              <w:right w:w="130" w:type="dxa"/>
            </w:tcMar>
          </w:tcPr>
          <w:p w14:paraId="5FF04972" w14:textId="77777777" w:rsidR="00002FB7" w:rsidRDefault="00000000">
            <w:r>
              <w:rPr>
                <w:b/>
                <w:color w:val="17365D"/>
              </w:rPr>
              <w:t xml:space="preserve">Learning objectives:  </w:t>
            </w:r>
            <w:r>
              <w:t>Participants should be able to (1) give a GPT source material to analyze, (2) ask for useful transformations without losing traceability, and (3) distinguish document assistance from professional review.</w:t>
            </w:r>
          </w:p>
        </w:tc>
      </w:tr>
    </w:tbl>
    <w:p w14:paraId="097D1231" w14:textId="77777777" w:rsidR="00002FB7" w:rsidRDefault="00000000">
      <w:pPr>
        <w:pStyle w:val="Heading1"/>
      </w:pPr>
      <w:r>
        <w:t>The key shift</w:t>
      </w:r>
    </w:p>
    <w:p w14:paraId="1E2F9DD2" w14:textId="77777777" w:rsidR="00002FB7" w:rsidRDefault="00000000">
      <w:r>
        <w:rPr>
          <w:b/>
        </w:rPr>
        <w:t xml:space="preserve">Do not only ask the GPT what it knows. </w:t>
      </w:r>
      <w:r>
        <w:t>Give it the material you want analyzed and tell it exactly what to do with that material.</w:t>
      </w:r>
    </w:p>
    <w:tbl>
      <w:tblPr>
        <w:tblW w:w="0" w:type="auto"/>
        <w:jc w:val="center"/>
        <w:tblLook w:val="04A0" w:firstRow="1" w:lastRow="0" w:firstColumn="1" w:lastColumn="0" w:noHBand="0" w:noVBand="1"/>
      </w:tblPr>
      <w:tblGrid>
        <w:gridCol w:w="10358"/>
        <w:gridCol w:w="10"/>
      </w:tblGrid>
      <w:tr w:rsidR="00002FB7" w14:paraId="08BA5429" w14:textId="77777777">
        <w:trPr>
          <w:gridAfter w:val="1"/>
          <w:wAfter w:w="10" w:type="dxa"/>
          <w:jc w:val="center"/>
        </w:trPr>
        <w:tc>
          <w:tcPr>
            <w:tcW w:w="10368" w:type="dxa"/>
            <w:shd w:val="clear" w:color="auto" w:fill="E2F0D9"/>
            <w:tcMar>
              <w:top w:w="100" w:type="dxa"/>
              <w:left w:w="140" w:type="dxa"/>
              <w:bottom w:w="100" w:type="dxa"/>
              <w:right w:w="140" w:type="dxa"/>
            </w:tcMar>
          </w:tcPr>
          <w:p w14:paraId="23C647B9" w14:textId="77777777" w:rsidR="00002FB7" w:rsidRDefault="00000000">
            <w:pPr>
              <w:spacing w:after="0"/>
            </w:pPr>
            <w:r>
              <w:t>QUESTION-ONLY USE → “What should a glucose meter procedure include?”</w:t>
            </w:r>
            <w:r>
              <w:br/>
            </w:r>
            <w:r>
              <w:br/>
              <w:t>SOURCE-GROUNDED USE → “Using only this procedure, identify contradictions, ambiguous instructions, and sections that may be difficult for operators to follow.”</w:t>
            </w:r>
          </w:p>
        </w:tc>
      </w:tr>
      <w:tr w:rsidR="00002FB7" w14:paraId="523CA6BA" w14:textId="77777777">
        <w:trPr>
          <w:jc w:val="center"/>
        </w:trPr>
        <w:tc>
          <w:tcPr>
            <w:tcW w:w="10368" w:type="dxa"/>
            <w:gridSpan w:val="2"/>
            <w:shd w:val="clear" w:color="auto" w:fill="FFF2CC"/>
            <w:tcMar>
              <w:top w:w="100" w:type="dxa"/>
              <w:left w:w="130" w:type="dxa"/>
              <w:bottom w:w="100" w:type="dxa"/>
              <w:right w:w="130" w:type="dxa"/>
            </w:tcMar>
          </w:tcPr>
          <w:p w14:paraId="6F3B551A" w14:textId="77777777" w:rsidR="00002FB7" w:rsidRDefault="00000000">
            <w:r>
              <w:rPr>
                <w:b/>
                <w:color w:val="17365D"/>
              </w:rPr>
              <w:t xml:space="preserve">Important:  </w:t>
            </w:r>
            <w:r>
              <w:t>A GPT can accelerate review, comparison, extraction, and reformatting. It does not replace document control, regulatory review, medical judgment, manufacturer instructions, or final approval by responsible laboratory personnel.</w:t>
            </w:r>
          </w:p>
        </w:tc>
      </w:tr>
    </w:tbl>
    <w:p w14:paraId="7BD51724" w14:textId="77777777" w:rsidR="00002FB7" w:rsidRDefault="00002FB7"/>
    <w:p w14:paraId="38E5BDA9" w14:textId="77777777" w:rsidR="00002FB7" w:rsidRDefault="00000000">
      <w:pPr>
        <w:pStyle w:val="Heading1"/>
      </w:pPr>
      <w:r>
        <w:t>1. What can GPTs do with POCT content?</w:t>
      </w:r>
    </w:p>
    <w:tbl>
      <w:tblPr>
        <w:tblStyle w:val="TableGrid"/>
        <w:tblW w:w="0" w:type="auto"/>
        <w:jc w:val="center"/>
        <w:tblLook w:val="04A0" w:firstRow="1" w:lastRow="0" w:firstColumn="1" w:lastColumn="0" w:noHBand="0" w:noVBand="1"/>
      </w:tblPr>
      <w:tblGrid>
        <w:gridCol w:w="5179"/>
        <w:gridCol w:w="5179"/>
      </w:tblGrid>
      <w:tr w:rsidR="00002FB7" w14:paraId="58CB45E9" w14:textId="77777777">
        <w:trPr>
          <w:jc w:val="center"/>
        </w:trPr>
        <w:tc>
          <w:tcPr>
            <w:tcW w:w="5184" w:type="dxa"/>
            <w:shd w:val="clear" w:color="auto" w:fill="17365D"/>
          </w:tcPr>
          <w:p w14:paraId="60A9C05A" w14:textId="77777777" w:rsidR="00002FB7" w:rsidRDefault="00000000">
            <w:r>
              <w:rPr>
                <w:b/>
                <w:color w:val="FFFFFF"/>
              </w:rPr>
              <w:t>Task</w:t>
            </w:r>
          </w:p>
        </w:tc>
        <w:tc>
          <w:tcPr>
            <w:tcW w:w="5184" w:type="dxa"/>
            <w:shd w:val="clear" w:color="auto" w:fill="17365D"/>
          </w:tcPr>
          <w:p w14:paraId="6B45333B" w14:textId="77777777" w:rsidR="00002FB7" w:rsidRDefault="00000000">
            <w:r>
              <w:rPr>
                <w:b/>
                <w:color w:val="FFFFFF"/>
              </w:rPr>
              <w:t>Example use</w:t>
            </w:r>
          </w:p>
        </w:tc>
      </w:tr>
      <w:tr w:rsidR="00002FB7" w14:paraId="465573C3" w14:textId="77777777">
        <w:trPr>
          <w:jc w:val="center"/>
        </w:trPr>
        <w:tc>
          <w:tcPr>
            <w:tcW w:w="5184" w:type="dxa"/>
            <w:tcMar>
              <w:top w:w="80" w:type="dxa"/>
              <w:left w:w="100" w:type="dxa"/>
              <w:bottom w:w="80" w:type="dxa"/>
              <w:right w:w="100" w:type="dxa"/>
            </w:tcMar>
          </w:tcPr>
          <w:p w14:paraId="0945CFA5" w14:textId="77777777" w:rsidR="00002FB7" w:rsidRDefault="00000000">
            <w:r>
              <w:t>Summarize</w:t>
            </w:r>
          </w:p>
        </w:tc>
        <w:tc>
          <w:tcPr>
            <w:tcW w:w="5184" w:type="dxa"/>
            <w:tcMar>
              <w:top w:w="80" w:type="dxa"/>
              <w:left w:w="100" w:type="dxa"/>
              <w:bottom w:w="80" w:type="dxa"/>
              <w:right w:w="100" w:type="dxa"/>
            </w:tcMar>
          </w:tcPr>
          <w:p w14:paraId="563B91CE" w14:textId="77777777" w:rsidR="00002FB7" w:rsidRDefault="00000000">
            <w:r>
              <w:t>Create a concise summary for a specific audience.</w:t>
            </w:r>
          </w:p>
        </w:tc>
      </w:tr>
      <w:tr w:rsidR="00002FB7" w14:paraId="42E94619" w14:textId="77777777">
        <w:trPr>
          <w:jc w:val="center"/>
        </w:trPr>
        <w:tc>
          <w:tcPr>
            <w:tcW w:w="5184" w:type="dxa"/>
            <w:shd w:val="clear" w:color="auto" w:fill="F7F9FB"/>
            <w:tcMar>
              <w:top w:w="80" w:type="dxa"/>
              <w:left w:w="100" w:type="dxa"/>
              <w:bottom w:w="80" w:type="dxa"/>
              <w:right w:w="100" w:type="dxa"/>
            </w:tcMar>
          </w:tcPr>
          <w:p w14:paraId="5746D735" w14:textId="77777777" w:rsidR="00002FB7" w:rsidRDefault="00000000">
            <w:r>
              <w:t>Extract</w:t>
            </w:r>
          </w:p>
        </w:tc>
        <w:tc>
          <w:tcPr>
            <w:tcW w:w="5184" w:type="dxa"/>
            <w:shd w:val="clear" w:color="auto" w:fill="F7F9FB"/>
            <w:tcMar>
              <w:top w:w="80" w:type="dxa"/>
              <w:left w:w="100" w:type="dxa"/>
              <w:bottom w:w="80" w:type="dxa"/>
              <w:right w:w="100" w:type="dxa"/>
            </w:tcMar>
          </w:tcPr>
          <w:p w14:paraId="53BADE26" w14:textId="77777777" w:rsidR="00002FB7" w:rsidRDefault="00000000">
            <w:r>
              <w:t>Pull out frequencies, responsibilities, limits, critical values, or required documentation.</w:t>
            </w:r>
          </w:p>
        </w:tc>
      </w:tr>
      <w:tr w:rsidR="00002FB7" w14:paraId="7EE4A32D" w14:textId="77777777">
        <w:trPr>
          <w:jc w:val="center"/>
        </w:trPr>
        <w:tc>
          <w:tcPr>
            <w:tcW w:w="5184" w:type="dxa"/>
            <w:tcMar>
              <w:top w:w="80" w:type="dxa"/>
              <w:left w:w="100" w:type="dxa"/>
              <w:bottom w:w="80" w:type="dxa"/>
              <w:right w:w="100" w:type="dxa"/>
            </w:tcMar>
          </w:tcPr>
          <w:p w14:paraId="0A331550" w14:textId="77777777" w:rsidR="00002FB7" w:rsidRDefault="00000000">
            <w:r>
              <w:t>Compare</w:t>
            </w:r>
          </w:p>
        </w:tc>
        <w:tc>
          <w:tcPr>
            <w:tcW w:w="5184" w:type="dxa"/>
            <w:tcMar>
              <w:top w:w="80" w:type="dxa"/>
              <w:left w:w="100" w:type="dxa"/>
              <w:bottom w:w="80" w:type="dxa"/>
              <w:right w:w="100" w:type="dxa"/>
            </w:tcMar>
          </w:tcPr>
          <w:p w14:paraId="64C54493" w14:textId="77777777" w:rsidR="00002FB7" w:rsidRDefault="00000000">
            <w:r>
              <w:t>Identify differences between two procedures, IFUs, policies, or versions.</w:t>
            </w:r>
          </w:p>
        </w:tc>
      </w:tr>
      <w:tr w:rsidR="00002FB7" w14:paraId="34C8DB87" w14:textId="77777777">
        <w:trPr>
          <w:jc w:val="center"/>
        </w:trPr>
        <w:tc>
          <w:tcPr>
            <w:tcW w:w="5184" w:type="dxa"/>
            <w:shd w:val="clear" w:color="auto" w:fill="F7F9FB"/>
            <w:tcMar>
              <w:top w:w="80" w:type="dxa"/>
              <w:left w:w="100" w:type="dxa"/>
              <w:bottom w:w="80" w:type="dxa"/>
              <w:right w:w="100" w:type="dxa"/>
            </w:tcMar>
          </w:tcPr>
          <w:p w14:paraId="2454E525" w14:textId="77777777" w:rsidR="00002FB7" w:rsidRDefault="00000000">
            <w:r>
              <w:t>Check consistency</w:t>
            </w:r>
          </w:p>
        </w:tc>
        <w:tc>
          <w:tcPr>
            <w:tcW w:w="5184" w:type="dxa"/>
            <w:shd w:val="clear" w:color="auto" w:fill="F7F9FB"/>
            <w:tcMar>
              <w:top w:w="80" w:type="dxa"/>
              <w:left w:w="100" w:type="dxa"/>
              <w:bottom w:w="80" w:type="dxa"/>
              <w:right w:w="100" w:type="dxa"/>
            </w:tcMar>
          </w:tcPr>
          <w:p w14:paraId="67E77037" w14:textId="77777777" w:rsidR="00002FB7" w:rsidRDefault="00000000">
            <w:r>
              <w:t>Find contradictory terminology, frequencies, roles, or instructions within a document.</w:t>
            </w:r>
          </w:p>
        </w:tc>
      </w:tr>
      <w:tr w:rsidR="00002FB7" w14:paraId="27B19808" w14:textId="77777777">
        <w:trPr>
          <w:jc w:val="center"/>
        </w:trPr>
        <w:tc>
          <w:tcPr>
            <w:tcW w:w="5184" w:type="dxa"/>
            <w:tcMar>
              <w:top w:w="80" w:type="dxa"/>
              <w:left w:w="100" w:type="dxa"/>
              <w:bottom w:w="80" w:type="dxa"/>
              <w:right w:w="100" w:type="dxa"/>
            </w:tcMar>
          </w:tcPr>
          <w:p w14:paraId="189A92F3" w14:textId="77777777" w:rsidR="00002FB7" w:rsidRDefault="00000000">
            <w:r>
              <w:t>Find ambiguity</w:t>
            </w:r>
          </w:p>
        </w:tc>
        <w:tc>
          <w:tcPr>
            <w:tcW w:w="5184" w:type="dxa"/>
            <w:tcMar>
              <w:top w:w="80" w:type="dxa"/>
              <w:left w:w="100" w:type="dxa"/>
              <w:bottom w:w="80" w:type="dxa"/>
              <w:right w:w="100" w:type="dxa"/>
            </w:tcMar>
          </w:tcPr>
          <w:p w14:paraId="7D0443FF" w14:textId="77777777" w:rsidR="00002FB7" w:rsidRDefault="00000000">
            <w:r>
              <w:t>Flag wording that could be interpreted differently by operators.</w:t>
            </w:r>
          </w:p>
        </w:tc>
      </w:tr>
      <w:tr w:rsidR="00002FB7" w14:paraId="7E7AFE43" w14:textId="77777777">
        <w:trPr>
          <w:jc w:val="center"/>
        </w:trPr>
        <w:tc>
          <w:tcPr>
            <w:tcW w:w="5184" w:type="dxa"/>
            <w:shd w:val="clear" w:color="auto" w:fill="F7F9FB"/>
            <w:tcMar>
              <w:top w:w="80" w:type="dxa"/>
              <w:left w:w="100" w:type="dxa"/>
              <w:bottom w:w="80" w:type="dxa"/>
              <w:right w:w="100" w:type="dxa"/>
            </w:tcMar>
          </w:tcPr>
          <w:p w14:paraId="63223143" w14:textId="77777777" w:rsidR="00002FB7" w:rsidRDefault="00000000">
            <w:r>
              <w:t>Reformat</w:t>
            </w:r>
          </w:p>
        </w:tc>
        <w:tc>
          <w:tcPr>
            <w:tcW w:w="5184" w:type="dxa"/>
            <w:shd w:val="clear" w:color="auto" w:fill="F7F9FB"/>
            <w:tcMar>
              <w:top w:w="80" w:type="dxa"/>
              <w:left w:w="100" w:type="dxa"/>
              <w:bottom w:w="80" w:type="dxa"/>
              <w:right w:w="100" w:type="dxa"/>
            </w:tcMar>
          </w:tcPr>
          <w:p w14:paraId="31C8C6AF" w14:textId="77777777" w:rsidR="00002FB7" w:rsidRDefault="00000000">
            <w:r>
              <w:t>Convert narrative text into tables, checklists, FAQs, competency aids, or workflows.</w:t>
            </w:r>
          </w:p>
        </w:tc>
      </w:tr>
      <w:tr w:rsidR="00002FB7" w14:paraId="7F87EA27" w14:textId="77777777">
        <w:trPr>
          <w:jc w:val="center"/>
        </w:trPr>
        <w:tc>
          <w:tcPr>
            <w:tcW w:w="5184" w:type="dxa"/>
            <w:tcMar>
              <w:top w:w="80" w:type="dxa"/>
              <w:left w:w="100" w:type="dxa"/>
              <w:bottom w:w="80" w:type="dxa"/>
              <w:right w:w="100" w:type="dxa"/>
            </w:tcMar>
          </w:tcPr>
          <w:p w14:paraId="4F79569C" w14:textId="77777777" w:rsidR="00002FB7" w:rsidRDefault="00000000">
            <w:r>
              <w:t>Generate questions</w:t>
            </w:r>
          </w:p>
        </w:tc>
        <w:tc>
          <w:tcPr>
            <w:tcW w:w="5184" w:type="dxa"/>
            <w:tcMar>
              <w:top w:w="80" w:type="dxa"/>
              <w:left w:w="100" w:type="dxa"/>
              <w:bottom w:w="80" w:type="dxa"/>
              <w:right w:w="100" w:type="dxa"/>
            </w:tcMar>
          </w:tcPr>
          <w:p w14:paraId="7CFC8BB0" w14:textId="77777777" w:rsidR="00002FB7" w:rsidRDefault="00000000">
            <w:r>
              <w:t>Create training or competency questions based only on supplied material.</w:t>
            </w:r>
          </w:p>
        </w:tc>
      </w:tr>
      <w:tr w:rsidR="00002FB7" w14:paraId="79A9A4FA" w14:textId="77777777">
        <w:trPr>
          <w:jc w:val="center"/>
        </w:trPr>
        <w:tc>
          <w:tcPr>
            <w:tcW w:w="5184" w:type="dxa"/>
            <w:shd w:val="clear" w:color="auto" w:fill="F7F9FB"/>
            <w:tcMar>
              <w:top w:w="80" w:type="dxa"/>
              <w:left w:w="100" w:type="dxa"/>
              <w:bottom w:w="80" w:type="dxa"/>
              <w:right w:w="100" w:type="dxa"/>
            </w:tcMar>
          </w:tcPr>
          <w:p w14:paraId="1C2EC6BE" w14:textId="77777777" w:rsidR="00002FB7" w:rsidRDefault="00000000">
            <w:r>
              <w:t>Create action items</w:t>
            </w:r>
          </w:p>
        </w:tc>
        <w:tc>
          <w:tcPr>
            <w:tcW w:w="5184" w:type="dxa"/>
            <w:shd w:val="clear" w:color="auto" w:fill="F7F9FB"/>
            <w:tcMar>
              <w:top w:w="80" w:type="dxa"/>
              <w:left w:w="100" w:type="dxa"/>
              <w:bottom w:w="80" w:type="dxa"/>
              <w:right w:w="100" w:type="dxa"/>
            </w:tcMar>
          </w:tcPr>
          <w:p w14:paraId="498B2224" w14:textId="77777777" w:rsidR="00002FB7" w:rsidRDefault="00000000">
            <w:r>
              <w:t>Turn findings or inspection notes into a structured corrective-action list.</w:t>
            </w:r>
          </w:p>
        </w:tc>
      </w:tr>
    </w:tbl>
    <w:p w14:paraId="7C2B0C38" w14:textId="77777777" w:rsidR="00002FB7" w:rsidRDefault="00000000">
      <w:pPr>
        <w:pStyle w:val="Heading2"/>
      </w:pPr>
      <w:r>
        <w:lastRenderedPageBreak/>
        <w:t>A reusable content-analysis prompt</w:t>
      </w:r>
    </w:p>
    <w:tbl>
      <w:tblPr>
        <w:tblW w:w="0" w:type="auto"/>
        <w:jc w:val="center"/>
        <w:tblLook w:val="04A0" w:firstRow="1" w:lastRow="0" w:firstColumn="1" w:lastColumn="0" w:noHBand="0" w:noVBand="1"/>
      </w:tblPr>
      <w:tblGrid>
        <w:gridCol w:w="10368"/>
      </w:tblGrid>
      <w:tr w:rsidR="00002FB7" w14:paraId="56A720C8" w14:textId="77777777">
        <w:trPr>
          <w:jc w:val="center"/>
        </w:trPr>
        <w:tc>
          <w:tcPr>
            <w:tcW w:w="10368" w:type="dxa"/>
            <w:shd w:val="clear" w:color="auto" w:fill="E2F0D9"/>
            <w:tcMar>
              <w:top w:w="100" w:type="dxa"/>
              <w:left w:w="140" w:type="dxa"/>
              <w:bottom w:w="100" w:type="dxa"/>
              <w:right w:w="140" w:type="dxa"/>
            </w:tcMar>
          </w:tcPr>
          <w:p w14:paraId="1A80B4DC" w14:textId="77777777" w:rsidR="00002FB7" w:rsidRDefault="00000000">
            <w:pPr>
              <w:spacing w:after="0"/>
            </w:pPr>
            <w:r>
              <w:t>You are assisting a point-of-care testing professional. Analyze only the content I provide. Do not add requirements or facts from memory unless I explicitly ask you to do so. For each finding, identify the relevant section or quoted phrase so I can trace the conclusion back to the source. Separate: (1) explicit statements in the source, (2) reasonable interpretations, and (3) questions requiring external verification. Return the result in the format I request.</w:t>
            </w:r>
          </w:p>
        </w:tc>
      </w:tr>
    </w:tbl>
    <w:p w14:paraId="64A16FB9" w14:textId="77777777" w:rsidR="00002FB7" w:rsidRDefault="00000000">
      <w:pPr>
        <w:pStyle w:val="Heading2"/>
      </w:pPr>
      <w:r>
        <w:t>Useful output formats</w:t>
      </w:r>
    </w:p>
    <w:p w14:paraId="2047E899" w14:textId="77777777" w:rsidR="00002FB7" w:rsidRDefault="00000000">
      <w:pPr>
        <w:pStyle w:val="ListBullet"/>
        <w:spacing w:after="40"/>
      </w:pPr>
      <w:r>
        <w:t>Table of findings</w:t>
      </w:r>
    </w:p>
    <w:p w14:paraId="01B2E7A3" w14:textId="77777777" w:rsidR="00002FB7" w:rsidRDefault="00000000">
      <w:pPr>
        <w:pStyle w:val="ListBullet"/>
        <w:spacing w:after="40"/>
      </w:pPr>
      <w:r>
        <w:t>Side-by-side comparison</w:t>
      </w:r>
    </w:p>
    <w:p w14:paraId="476D1894" w14:textId="77777777" w:rsidR="00002FB7" w:rsidRDefault="00000000">
      <w:pPr>
        <w:pStyle w:val="ListBullet"/>
        <w:spacing w:after="40"/>
      </w:pPr>
      <w:r>
        <w:t>Operator checklist</w:t>
      </w:r>
    </w:p>
    <w:p w14:paraId="3F54C0BB" w14:textId="77777777" w:rsidR="00002FB7" w:rsidRDefault="00000000">
      <w:pPr>
        <w:pStyle w:val="ListBullet"/>
        <w:spacing w:after="40"/>
      </w:pPr>
      <w:r>
        <w:t>Executive summary</w:t>
      </w:r>
    </w:p>
    <w:p w14:paraId="3172A40B" w14:textId="77777777" w:rsidR="00002FB7" w:rsidRDefault="00000000">
      <w:pPr>
        <w:pStyle w:val="ListBullet"/>
        <w:spacing w:after="40"/>
      </w:pPr>
      <w:r>
        <w:t>Training handout</w:t>
      </w:r>
    </w:p>
    <w:p w14:paraId="160C193C" w14:textId="77777777" w:rsidR="00002FB7" w:rsidRDefault="00000000">
      <w:pPr>
        <w:pStyle w:val="ListBullet"/>
        <w:spacing w:after="40"/>
      </w:pPr>
      <w:r>
        <w:t>FAQ</w:t>
      </w:r>
    </w:p>
    <w:p w14:paraId="6930C11A" w14:textId="77777777" w:rsidR="00002FB7" w:rsidRDefault="00000000">
      <w:pPr>
        <w:pStyle w:val="ListBullet"/>
        <w:spacing w:after="40"/>
      </w:pPr>
      <w:r>
        <w:t>Competency quiz</w:t>
      </w:r>
    </w:p>
    <w:p w14:paraId="0E6CE607" w14:textId="77777777" w:rsidR="00002FB7" w:rsidRDefault="00000000">
      <w:pPr>
        <w:pStyle w:val="ListBullet"/>
        <w:spacing w:after="40"/>
      </w:pPr>
      <w:r>
        <w:t>Corrective-action tracker</w:t>
      </w:r>
    </w:p>
    <w:p w14:paraId="02C15D62" w14:textId="77777777" w:rsidR="00002FB7" w:rsidRDefault="00002FB7"/>
    <w:p w14:paraId="4F282CFA" w14:textId="77777777" w:rsidR="00002FB7" w:rsidRDefault="00000000">
      <w:pPr>
        <w:pStyle w:val="Heading1"/>
      </w:pPr>
      <w:r>
        <w:t>2. Hands-on Exercise 1 — Analyze a flawed procedure</w:t>
      </w:r>
    </w:p>
    <w:p w14:paraId="53524B63" w14:textId="77777777" w:rsidR="00002FB7" w:rsidRDefault="00000000">
      <w:r>
        <w:rPr>
          <w:b/>
        </w:rPr>
        <w:t xml:space="preserve">Scenario: </w:t>
      </w:r>
      <w:r>
        <w:t>The excerpt below is fictional and intentionally contains inconsistencies and unclear language. Participants can paste it into a GPT and ask the model to review it.</w:t>
      </w:r>
    </w:p>
    <w:p w14:paraId="1722FA45" w14:textId="77777777" w:rsidR="00002FB7" w:rsidRDefault="00000000">
      <w:pPr>
        <w:pStyle w:val="Heading2"/>
      </w:pPr>
      <w:r>
        <w:t>Fictional POCT glucose procedure excerpt</w:t>
      </w:r>
    </w:p>
    <w:tbl>
      <w:tblPr>
        <w:tblW w:w="0" w:type="auto"/>
        <w:jc w:val="center"/>
        <w:tblLook w:val="04A0" w:firstRow="1" w:lastRow="0" w:firstColumn="1" w:lastColumn="0" w:noHBand="0" w:noVBand="1"/>
      </w:tblPr>
      <w:tblGrid>
        <w:gridCol w:w="10368"/>
      </w:tblGrid>
      <w:tr w:rsidR="00002FB7" w14:paraId="64576BE3" w14:textId="77777777">
        <w:trPr>
          <w:jc w:val="center"/>
        </w:trPr>
        <w:tc>
          <w:tcPr>
            <w:tcW w:w="10368" w:type="dxa"/>
            <w:shd w:val="clear" w:color="auto" w:fill="F2F2F2"/>
            <w:tcMar>
              <w:top w:w="100" w:type="dxa"/>
              <w:left w:w="140" w:type="dxa"/>
              <w:bottom w:w="100" w:type="dxa"/>
              <w:right w:w="140" w:type="dxa"/>
            </w:tcMar>
          </w:tcPr>
          <w:p w14:paraId="33E7F2B9" w14:textId="77777777" w:rsidR="00002FB7" w:rsidRDefault="00000000">
            <w:pPr>
              <w:spacing w:after="0"/>
            </w:pPr>
            <w:r>
              <w:t>POINT-OF-CARE GLUCOSE TESTING — PROCEDURE EXCERPT</w:t>
            </w:r>
            <w:r>
              <w:br/>
            </w:r>
            <w:r>
              <w:br/>
              <w:t>4. Quality Control</w:t>
            </w:r>
            <w:r>
              <w:br/>
              <w:t>4.1 Two levels of liquid quality control are performed every day of patient testing.</w:t>
            </w:r>
            <w:r>
              <w:br/>
              <w:t>4.2 Quality control is required every 24 hours when the meter is in use.</w:t>
            </w:r>
            <w:r>
              <w:br/>
              <w:t>4.3 If QC fails, repeat the control one time. If the repeated result passes, patient testing may resume.</w:t>
            </w:r>
            <w:r>
              <w:br/>
              <w:t>4.4 If QC fails twice, notify the POCT office during normal business hours.</w:t>
            </w:r>
            <w:r>
              <w:br/>
              <w:t>4.5 Patient testing may be performed while troubleshooting if results are urgently needed.</w:t>
            </w:r>
            <w:r>
              <w:br/>
            </w:r>
            <w:r>
              <w:br/>
              <w:t>5. Patient Testing</w:t>
            </w:r>
            <w:r>
              <w:br/>
              <w:t>5.1 Verify the patient using two identifiers.</w:t>
            </w:r>
            <w:r>
              <w:br/>
              <w:t>5.2 Clean the finger with alcohol and immediately puncture the site while still wet.</w:t>
            </w:r>
            <w:r>
              <w:br/>
              <w:t>5.3 Apply the first drop of blood to the test strip.</w:t>
            </w:r>
            <w:r>
              <w:br/>
              <w:t>5.4 Results below 40 mg/dL or above 500 mg/dL are critical and must be repeated.</w:t>
            </w:r>
            <w:r>
              <w:br/>
              <w:t>5.5 All repeated critical results should be called to the physician.</w:t>
            </w:r>
            <w:r>
              <w:br/>
              <w:t>5.6 Results greater than 600 mg/dL should be sent to the central laboratory for confirmation.</w:t>
            </w:r>
            <w:r>
              <w:br/>
            </w:r>
            <w:r>
              <w:br/>
              <w:t>6. Operator Requirements</w:t>
            </w:r>
            <w:r>
              <w:br/>
              <w:t>6.1 Operators must complete competency annually.</w:t>
            </w:r>
            <w:r>
              <w:br/>
              <w:t>6.2 New operators complete training before independent testing.</w:t>
            </w:r>
            <w:r>
              <w:br/>
              <w:t>6.3 Competency documentation is maintained by each clinical unit.</w:t>
            </w:r>
            <w:r>
              <w:br/>
              <w:t>6.4 The POCT office maintains all competency records.</w:t>
            </w:r>
          </w:p>
        </w:tc>
      </w:tr>
    </w:tbl>
    <w:p w14:paraId="08D2C4A7" w14:textId="77777777" w:rsidR="00002FB7" w:rsidRDefault="00000000">
      <w:pPr>
        <w:pStyle w:val="Heading2"/>
      </w:pPr>
      <w:r>
        <w:lastRenderedPageBreak/>
        <w:t>Prompt A — General review</w:t>
      </w:r>
    </w:p>
    <w:tbl>
      <w:tblPr>
        <w:tblW w:w="0" w:type="auto"/>
        <w:jc w:val="center"/>
        <w:tblLook w:val="04A0" w:firstRow="1" w:lastRow="0" w:firstColumn="1" w:lastColumn="0" w:noHBand="0" w:noVBand="1"/>
      </w:tblPr>
      <w:tblGrid>
        <w:gridCol w:w="10368"/>
      </w:tblGrid>
      <w:tr w:rsidR="00002FB7" w14:paraId="53344E66" w14:textId="77777777">
        <w:trPr>
          <w:jc w:val="center"/>
        </w:trPr>
        <w:tc>
          <w:tcPr>
            <w:tcW w:w="10368" w:type="dxa"/>
            <w:shd w:val="clear" w:color="auto" w:fill="E2F0D9"/>
            <w:tcMar>
              <w:top w:w="100" w:type="dxa"/>
              <w:left w:w="140" w:type="dxa"/>
              <w:bottom w:w="100" w:type="dxa"/>
              <w:right w:w="140" w:type="dxa"/>
            </w:tcMar>
          </w:tcPr>
          <w:p w14:paraId="18CEDE56" w14:textId="77777777" w:rsidR="00002FB7" w:rsidRDefault="00000000">
            <w:pPr>
              <w:spacing w:after="0"/>
            </w:pPr>
            <w:r>
              <w:t>Using only the procedure excerpt above, identify internal contradictions, ambiguous instructions, unclear responsibilities, and statements that could create patient-safety or workflow problems. Do not assume external regulatory or manufacturer requirements. Return a table with: finding, source section, why it deserves review, and a suggested clarification.</w:t>
            </w:r>
          </w:p>
        </w:tc>
      </w:tr>
    </w:tbl>
    <w:p w14:paraId="18B091FF" w14:textId="77777777" w:rsidR="00002FB7" w:rsidRDefault="00000000">
      <w:pPr>
        <w:pStyle w:val="Heading2"/>
      </w:pPr>
      <w:r>
        <w:t>Ask participants to look for</w:t>
      </w:r>
    </w:p>
    <w:p w14:paraId="48DDAF8A" w14:textId="77777777" w:rsidR="00002FB7" w:rsidRDefault="00000000">
      <w:pPr>
        <w:pStyle w:val="ListBullet"/>
        <w:spacing w:after="40"/>
      </w:pPr>
      <w:r>
        <w:t>Conflicting QC timing language.</w:t>
      </w:r>
    </w:p>
    <w:p w14:paraId="7BA41B0B" w14:textId="77777777" w:rsidR="00002FB7" w:rsidRDefault="00000000">
      <w:pPr>
        <w:pStyle w:val="ListBullet"/>
        <w:spacing w:after="40"/>
      </w:pPr>
      <w:r>
        <w:t>What happens after repeated QC failure.</w:t>
      </w:r>
    </w:p>
    <w:p w14:paraId="61AE73FF" w14:textId="77777777" w:rsidR="00002FB7" w:rsidRDefault="00000000">
      <w:pPr>
        <w:pStyle w:val="ListBullet"/>
        <w:spacing w:after="40"/>
      </w:pPr>
      <w:r>
        <w:t>Whether patient testing is allowed during an unresolved QC problem.</w:t>
      </w:r>
    </w:p>
    <w:p w14:paraId="7CA4F957" w14:textId="77777777" w:rsidR="00002FB7" w:rsidRDefault="00000000">
      <w:pPr>
        <w:pStyle w:val="ListBullet"/>
        <w:spacing w:after="40"/>
      </w:pPr>
      <w:r>
        <w:t>Potentially problematic specimen-collection wording.</w:t>
      </w:r>
    </w:p>
    <w:p w14:paraId="5FFE7A89" w14:textId="77777777" w:rsidR="00002FB7" w:rsidRDefault="00000000">
      <w:pPr>
        <w:pStyle w:val="ListBullet"/>
        <w:spacing w:after="40"/>
      </w:pPr>
      <w:r>
        <w:t>Critical-result ranges that do not align internally.</w:t>
      </w:r>
    </w:p>
    <w:p w14:paraId="40AFC43E" w14:textId="77777777" w:rsidR="00002FB7" w:rsidRDefault="00000000">
      <w:pPr>
        <w:pStyle w:val="ListBullet"/>
        <w:spacing w:after="40"/>
      </w:pPr>
      <w:r>
        <w:t>Ambiguous wording around repeat testing and notification.</w:t>
      </w:r>
    </w:p>
    <w:p w14:paraId="32085CA2" w14:textId="77777777" w:rsidR="00002FB7" w:rsidRDefault="00000000">
      <w:pPr>
        <w:pStyle w:val="ListBullet"/>
        <w:spacing w:after="40"/>
      </w:pPr>
      <w:r>
        <w:t>Conflicting ownership of competency records.</w:t>
      </w:r>
    </w:p>
    <w:p w14:paraId="420478F9" w14:textId="77777777" w:rsidR="00002FB7" w:rsidRDefault="00002FB7"/>
    <w:p w14:paraId="40A1D1A8" w14:textId="77777777" w:rsidR="00002FB7" w:rsidRDefault="00000000">
      <w:pPr>
        <w:pStyle w:val="Heading1"/>
      </w:pPr>
      <w:r>
        <w:t>3. Hands-on Exercise 2 — One source, multiple useful outputs</w:t>
      </w:r>
    </w:p>
    <w:p w14:paraId="1AF4F4C6" w14:textId="77777777" w:rsidR="00002FB7" w:rsidRDefault="00000000">
      <w:r>
        <w:rPr>
          <w:b/>
        </w:rPr>
        <w:t xml:space="preserve">Use the same fictional procedure excerpt. </w:t>
      </w:r>
      <w:r>
        <w:t>The objective is to show that GPTs can transform existing content into operational tools without asking them to invent new requirements.</w:t>
      </w:r>
    </w:p>
    <w:p w14:paraId="425F0222" w14:textId="34BE6FC6" w:rsidR="00002FB7" w:rsidRDefault="004E2F33">
      <w:pPr>
        <w:pStyle w:val="Heading2"/>
      </w:pPr>
      <w:r>
        <w:t>Prompt A. Turn the procedure into an operator checklist</w:t>
      </w:r>
    </w:p>
    <w:tbl>
      <w:tblPr>
        <w:tblW w:w="0" w:type="auto"/>
        <w:jc w:val="center"/>
        <w:tblLook w:val="04A0" w:firstRow="1" w:lastRow="0" w:firstColumn="1" w:lastColumn="0" w:noHBand="0" w:noVBand="1"/>
      </w:tblPr>
      <w:tblGrid>
        <w:gridCol w:w="10368"/>
      </w:tblGrid>
      <w:tr w:rsidR="00002FB7" w14:paraId="57DCF963" w14:textId="77777777">
        <w:trPr>
          <w:jc w:val="center"/>
        </w:trPr>
        <w:tc>
          <w:tcPr>
            <w:tcW w:w="10368" w:type="dxa"/>
            <w:shd w:val="clear" w:color="auto" w:fill="E2F0D9"/>
            <w:tcMar>
              <w:top w:w="100" w:type="dxa"/>
              <w:left w:w="140" w:type="dxa"/>
              <w:bottom w:w="100" w:type="dxa"/>
              <w:right w:w="140" w:type="dxa"/>
            </w:tcMar>
          </w:tcPr>
          <w:p w14:paraId="51E1A0A7" w14:textId="77777777" w:rsidR="00002FB7" w:rsidRDefault="00000000">
            <w:pPr>
              <w:spacing w:after="0"/>
            </w:pPr>
            <w:r>
              <w:t>Using only the procedure excerpt, create a short operator checklist for patient glucose testing. Include only instructions that are explicitly stated in the source. If an instruction appears contradictory or unsafe, do not silently resolve it; mark it as 'requires clarification.'</w:t>
            </w:r>
          </w:p>
        </w:tc>
      </w:tr>
    </w:tbl>
    <w:p w14:paraId="5358392F" w14:textId="7C43D7A8" w:rsidR="00002FB7" w:rsidRDefault="004E2F33">
      <w:pPr>
        <w:pStyle w:val="Heading2"/>
      </w:pPr>
      <w:r>
        <w:t>Prompt B. Turn the procedure into competency questions</w:t>
      </w:r>
    </w:p>
    <w:tbl>
      <w:tblPr>
        <w:tblW w:w="0" w:type="auto"/>
        <w:jc w:val="center"/>
        <w:tblLook w:val="04A0" w:firstRow="1" w:lastRow="0" w:firstColumn="1" w:lastColumn="0" w:noHBand="0" w:noVBand="1"/>
      </w:tblPr>
      <w:tblGrid>
        <w:gridCol w:w="10368"/>
      </w:tblGrid>
      <w:tr w:rsidR="00002FB7" w14:paraId="7FB80ADF" w14:textId="77777777">
        <w:trPr>
          <w:jc w:val="center"/>
        </w:trPr>
        <w:tc>
          <w:tcPr>
            <w:tcW w:w="10368" w:type="dxa"/>
            <w:shd w:val="clear" w:color="auto" w:fill="E2F0D9"/>
            <w:tcMar>
              <w:top w:w="100" w:type="dxa"/>
              <w:left w:w="140" w:type="dxa"/>
              <w:bottom w:w="100" w:type="dxa"/>
              <w:right w:w="140" w:type="dxa"/>
            </w:tcMar>
          </w:tcPr>
          <w:p w14:paraId="7A96A154" w14:textId="77777777" w:rsidR="00002FB7" w:rsidRDefault="00000000">
            <w:pPr>
              <w:spacing w:after="0"/>
            </w:pPr>
            <w:r>
              <w:t>Using only the procedure excerpt, create five competency questions for POCT operators: three multiple-choice questions and two scenario-based questions. Provide the correct answer and identify the exact section supporting each answer. Do not create questions whose answers require information outside the excerpt.</w:t>
            </w:r>
          </w:p>
        </w:tc>
      </w:tr>
    </w:tbl>
    <w:p w14:paraId="52861ADA" w14:textId="72D889DF" w:rsidR="00002FB7" w:rsidRDefault="004E2F33">
      <w:pPr>
        <w:pStyle w:val="Heading2"/>
      </w:pPr>
      <w:r>
        <w:t>Prompt C. Create a leadership summary</w:t>
      </w:r>
    </w:p>
    <w:tbl>
      <w:tblPr>
        <w:tblW w:w="0" w:type="auto"/>
        <w:jc w:val="center"/>
        <w:tblLook w:val="04A0" w:firstRow="1" w:lastRow="0" w:firstColumn="1" w:lastColumn="0" w:noHBand="0" w:noVBand="1"/>
      </w:tblPr>
      <w:tblGrid>
        <w:gridCol w:w="10368"/>
      </w:tblGrid>
      <w:tr w:rsidR="00002FB7" w14:paraId="6DF1B007" w14:textId="77777777">
        <w:trPr>
          <w:jc w:val="center"/>
        </w:trPr>
        <w:tc>
          <w:tcPr>
            <w:tcW w:w="10368" w:type="dxa"/>
            <w:shd w:val="clear" w:color="auto" w:fill="E2F0D9"/>
            <w:tcMar>
              <w:top w:w="100" w:type="dxa"/>
              <w:left w:w="140" w:type="dxa"/>
              <w:bottom w:w="100" w:type="dxa"/>
              <w:right w:w="140" w:type="dxa"/>
            </w:tcMar>
          </w:tcPr>
          <w:p w14:paraId="7DC0F130" w14:textId="77777777" w:rsidR="00002FB7" w:rsidRDefault="00000000">
            <w:pPr>
              <w:spacing w:after="0"/>
            </w:pPr>
            <w:r>
              <w:t>Summarize the procedure-review findings for a POCT manager in no more than 150 words. Group findings into: patient safety, quality control, documentation/ownership, and items requiring clarification. Do not characterize any finding as a regulatory deficiency unless the source itself establishes that.</w:t>
            </w:r>
          </w:p>
        </w:tc>
      </w:tr>
    </w:tbl>
    <w:p w14:paraId="6BFAE477" w14:textId="32927F3E" w:rsidR="00002FB7" w:rsidRDefault="004E2F33">
      <w:pPr>
        <w:pStyle w:val="Heading2"/>
      </w:pPr>
      <w:r>
        <w:t>Prompt D. Extract structured information</w:t>
      </w:r>
    </w:p>
    <w:tbl>
      <w:tblPr>
        <w:tblW w:w="0" w:type="auto"/>
        <w:jc w:val="center"/>
        <w:tblLook w:val="04A0" w:firstRow="1" w:lastRow="0" w:firstColumn="1" w:lastColumn="0" w:noHBand="0" w:noVBand="1"/>
      </w:tblPr>
      <w:tblGrid>
        <w:gridCol w:w="10368"/>
      </w:tblGrid>
      <w:tr w:rsidR="00002FB7" w14:paraId="26E3DD36" w14:textId="77777777">
        <w:trPr>
          <w:jc w:val="center"/>
        </w:trPr>
        <w:tc>
          <w:tcPr>
            <w:tcW w:w="10368" w:type="dxa"/>
            <w:shd w:val="clear" w:color="auto" w:fill="E2F0D9"/>
            <w:tcMar>
              <w:top w:w="100" w:type="dxa"/>
              <w:left w:w="140" w:type="dxa"/>
              <w:bottom w:w="100" w:type="dxa"/>
              <w:right w:w="140" w:type="dxa"/>
            </w:tcMar>
          </w:tcPr>
          <w:p w14:paraId="131BA70A" w14:textId="77777777" w:rsidR="00002FB7" w:rsidRDefault="00000000">
            <w:pPr>
              <w:spacing w:after="0"/>
            </w:pPr>
            <w:r>
              <w:t>Extract every numerical threshold, frequency, and timing statement from the procedure excerpt. Return a table with: value/frequency, what it applies to, section, and whether another statement in the document appears to conflict with it.</w:t>
            </w:r>
          </w:p>
        </w:tc>
      </w:tr>
    </w:tbl>
    <w:p w14:paraId="0EAA2B66" w14:textId="77777777" w:rsidR="00002FB7" w:rsidRDefault="00002FB7"/>
    <w:tbl>
      <w:tblPr>
        <w:tblW w:w="0" w:type="auto"/>
        <w:jc w:val="center"/>
        <w:tblLook w:val="04A0" w:firstRow="1" w:lastRow="0" w:firstColumn="1" w:lastColumn="0" w:noHBand="0" w:noVBand="1"/>
      </w:tblPr>
      <w:tblGrid>
        <w:gridCol w:w="10368"/>
      </w:tblGrid>
      <w:tr w:rsidR="00002FB7" w14:paraId="57A6AFB6" w14:textId="77777777">
        <w:trPr>
          <w:jc w:val="center"/>
        </w:trPr>
        <w:tc>
          <w:tcPr>
            <w:tcW w:w="10368" w:type="dxa"/>
            <w:shd w:val="clear" w:color="auto" w:fill="FFF2CC"/>
            <w:tcMar>
              <w:top w:w="100" w:type="dxa"/>
              <w:left w:w="130" w:type="dxa"/>
              <w:bottom w:w="100" w:type="dxa"/>
              <w:right w:w="130" w:type="dxa"/>
            </w:tcMar>
          </w:tcPr>
          <w:p w14:paraId="314FA62C" w14:textId="77777777" w:rsidR="00002FB7" w:rsidRDefault="00000000">
            <w:r>
              <w:rPr>
                <w:b/>
                <w:color w:val="17365D"/>
              </w:rPr>
              <w:lastRenderedPageBreak/>
              <w:t xml:space="preserve">Teaching point:  </w:t>
            </w:r>
            <w:r>
              <w:t>GPTs are often excellent at changing the form of information: narrative → table, procedure → checklist, findings → summary, or source → quiz. That is different from asking the model to decide whether the source is correct.</w:t>
            </w:r>
          </w:p>
        </w:tc>
      </w:tr>
    </w:tbl>
    <w:p w14:paraId="30AFCF21" w14:textId="77777777" w:rsidR="00002FB7" w:rsidRDefault="00002FB7"/>
    <w:p w14:paraId="63AA020C" w14:textId="77777777" w:rsidR="00002FB7" w:rsidRDefault="00000000">
      <w:pPr>
        <w:pStyle w:val="Heading1"/>
      </w:pPr>
      <w:r>
        <w:t>4. High-value POCT use case — Compare two documents</w:t>
      </w:r>
    </w:p>
    <w:p w14:paraId="0C1D7721" w14:textId="77777777" w:rsidR="00002FB7" w:rsidRDefault="00000000">
      <w:r>
        <w:rPr>
          <w:b/>
        </w:rPr>
        <w:t xml:space="preserve">This is one of the most practical uses for POCT teams. </w:t>
      </w:r>
      <w:r>
        <w:t>Examples include comparing an old and new IFU, two versions of a procedure, a local policy against a system policy, or a manufacturer bulletin against current instructions.</w:t>
      </w:r>
    </w:p>
    <w:p w14:paraId="616FEEA0" w14:textId="77777777" w:rsidR="00002FB7" w:rsidRDefault="00000000">
      <w:pPr>
        <w:pStyle w:val="Heading2"/>
      </w:pPr>
      <w:r>
        <w:t>Comparison prompt template</w:t>
      </w:r>
    </w:p>
    <w:tbl>
      <w:tblPr>
        <w:tblW w:w="0" w:type="auto"/>
        <w:jc w:val="center"/>
        <w:tblLook w:val="04A0" w:firstRow="1" w:lastRow="0" w:firstColumn="1" w:lastColumn="0" w:noHBand="0" w:noVBand="1"/>
      </w:tblPr>
      <w:tblGrid>
        <w:gridCol w:w="10368"/>
      </w:tblGrid>
      <w:tr w:rsidR="00002FB7" w14:paraId="2528D2A5" w14:textId="77777777">
        <w:trPr>
          <w:jc w:val="center"/>
        </w:trPr>
        <w:tc>
          <w:tcPr>
            <w:tcW w:w="10368" w:type="dxa"/>
            <w:shd w:val="clear" w:color="auto" w:fill="E2F0D9"/>
            <w:tcMar>
              <w:top w:w="100" w:type="dxa"/>
              <w:left w:w="140" w:type="dxa"/>
              <w:bottom w:w="100" w:type="dxa"/>
              <w:right w:w="140" w:type="dxa"/>
            </w:tcMar>
          </w:tcPr>
          <w:p w14:paraId="1E224E76" w14:textId="77777777" w:rsidR="00002FB7" w:rsidRDefault="00000000">
            <w:pPr>
              <w:spacing w:after="0"/>
            </w:pPr>
            <w:r>
              <w:t>Compare Document A and Document B. Focus only on substantive differences that could affect POCT operations, including testing steps, specimen requirements, QC, limitations, result interpretation, maintenance, operator responsibilities, and documentation. Ignore purely editorial changes unless they alter meaning. For each difference, show: topic, Document A language/section, Document B language/section, operational significance, and recommended follow-up. Do not decide which document is authoritative unless that information is explicitly provided.</w:t>
            </w:r>
          </w:p>
        </w:tc>
      </w:tr>
    </w:tbl>
    <w:p w14:paraId="2A25CC40" w14:textId="77777777" w:rsidR="00002FB7" w:rsidRDefault="00000000">
      <w:pPr>
        <w:pStyle w:val="Heading2"/>
      </w:pPr>
      <w:r>
        <w:t>Questions the GPT can help answer</w:t>
      </w:r>
    </w:p>
    <w:p w14:paraId="07197198" w14:textId="77777777" w:rsidR="00002FB7" w:rsidRDefault="00000000">
      <w:pPr>
        <w:pStyle w:val="ListBullet"/>
        <w:spacing w:after="40"/>
      </w:pPr>
      <w:r>
        <w:t>What changed between version 3 and version 4?</w:t>
      </w:r>
    </w:p>
    <w:p w14:paraId="76278C7D" w14:textId="77777777" w:rsidR="00002FB7" w:rsidRDefault="00000000">
      <w:pPr>
        <w:pStyle w:val="ListBullet"/>
        <w:spacing w:after="40"/>
      </w:pPr>
      <w:r>
        <w:t>Did any QC frequency, specimen type, or result range change?</w:t>
      </w:r>
    </w:p>
    <w:p w14:paraId="6645810F" w14:textId="77777777" w:rsidR="00002FB7" w:rsidRDefault="00000000">
      <w:pPr>
        <w:pStyle w:val="ListBullet"/>
        <w:spacing w:after="40"/>
      </w:pPr>
      <w:r>
        <w:t>Which changes require retraining operators?</w:t>
      </w:r>
    </w:p>
    <w:p w14:paraId="1374FAA3" w14:textId="77777777" w:rsidR="00002FB7" w:rsidRDefault="00000000">
      <w:pPr>
        <w:pStyle w:val="ListBullet"/>
        <w:spacing w:after="40"/>
      </w:pPr>
      <w:r>
        <w:t>Which local procedure statements may need revision after a new IFU?</w:t>
      </w:r>
    </w:p>
    <w:p w14:paraId="09BFFF0F" w14:textId="77777777" w:rsidR="00002FB7" w:rsidRDefault="00000000">
      <w:pPr>
        <w:pStyle w:val="ListBullet"/>
        <w:spacing w:after="40"/>
      </w:pPr>
      <w:r>
        <w:t>Are there differences that look editorial but may actually change meaning?</w:t>
      </w:r>
    </w:p>
    <w:p w14:paraId="25A88CA3" w14:textId="77777777" w:rsidR="00002FB7" w:rsidRDefault="00000000">
      <w:pPr>
        <w:pStyle w:val="ListBullet"/>
        <w:spacing w:after="40"/>
      </w:pPr>
      <w:r>
        <w:t>Which findings need human review before implementation?</w:t>
      </w:r>
    </w:p>
    <w:p w14:paraId="4E2806CE" w14:textId="77777777" w:rsidR="00002FB7" w:rsidRDefault="00000000">
      <w:pPr>
        <w:pStyle w:val="Heading1"/>
      </w:pPr>
      <w:r>
        <w:t>5. Keep the analysis traceable</w:t>
      </w:r>
    </w:p>
    <w:tbl>
      <w:tblPr>
        <w:tblStyle w:val="TableGrid"/>
        <w:tblW w:w="0" w:type="auto"/>
        <w:jc w:val="center"/>
        <w:tblLook w:val="04A0" w:firstRow="1" w:lastRow="0" w:firstColumn="1" w:lastColumn="0" w:noHBand="0" w:noVBand="1"/>
      </w:tblPr>
      <w:tblGrid>
        <w:gridCol w:w="5179"/>
        <w:gridCol w:w="5179"/>
      </w:tblGrid>
      <w:tr w:rsidR="00002FB7" w14:paraId="6980BE6E" w14:textId="77777777">
        <w:trPr>
          <w:jc w:val="center"/>
        </w:trPr>
        <w:tc>
          <w:tcPr>
            <w:tcW w:w="5184" w:type="dxa"/>
            <w:shd w:val="clear" w:color="auto" w:fill="17365D"/>
          </w:tcPr>
          <w:p w14:paraId="7099F283" w14:textId="77777777" w:rsidR="00002FB7" w:rsidRDefault="00000000">
            <w:r>
              <w:rPr>
                <w:b/>
                <w:color w:val="FFFFFF"/>
              </w:rPr>
              <w:t>Practice</w:t>
            </w:r>
          </w:p>
        </w:tc>
        <w:tc>
          <w:tcPr>
            <w:tcW w:w="5184" w:type="dxa"/>
            <w:shd w:val="clear" w:color="auto" w:fill="17365D"/>
          </w:tcPr>
          <w:p w14:paraId="5CF97816" w14:textId="77777777" w:rsidR="00002FB7" w:rsidRDefault="00000000">
            <w:r>
              <w:rPr>
                <w:b/>
                <w:color w:val="FFFFFF"/>
              </w:rPr>
              <w:t>Why</w:t>
            </w:r>
          </w:p>
        </w:tc>
      </w:tr>
      <w:tr w:rsidR="00002FB7" w14:paraId="06F0DA63" w14:textId="77777777">
        <w:trPr>
          <w:jc w:val="center"/>
        </w:trPr>
        <w:tc>
          <w:tcPr>
            <w:tcW w:w="5184" w:type="dxa"/>
            <w:tcMar>
              <w:top w:w="80" w:type="dxa"/>
              <w:left w:w="100" w:type="dxa"/>
              <w:bottom w:w="80" w:type="dxa"/>
              <w:right w:w="100" w:type="dxa"/>
            </w:tcMar>
          </w:tcPr>
          <w:p w14:paraId="0B166505" w14:textId="77777777" w:rsidR="00002FB7" w:rsidRDefault="00000000">
            <w:r>
              <w:t>Ask for section references</w:t>
            </w:r>
          </w:p>
        </w:tc>
        <w:tc>
          <w:tcPr>
            <w:tcW w:w="5184" w:type="dxa"/>
            <w:tcMar>
              <w:top w:w="80" w:type="dxa"/>
              <w:left w:w="100" w:type="dxa"/>
              <w:bottom w:w="80" w:type="dxa"/>
              <w:right w:w="100" w:type="dxa"/>
            </w:tcMar>
          </w:tcPr>
          <w:p w14:paraId="752E293C" w14:textId="77777777" w:rsidR="00002FB7" w:rsidRDefault="00000000">
            <w:r>
              <w:t>Require the GPT to identify where each finding came from.</w:t>
            </w:r>
          </w:p>
        </w:tc>
      </w:tr>
      <w:tr w:rsidR="00002FB7" w14:paraId="47F1A348" w14:textId="77777777">
        <w:trPr>
          <w:jc w:val="center"/>
        </w:trPr>
        <w:tc>
          <w:tcPr>
            <w:tcW w:w="5184" w:type="dxa"/>
            <w:shd w:val="clear" w:color="auto" w:fill="F7F9FB"/>
            <w:tcMar>
              <w:top w:w="80" w:type="dxa"/>
              <w:left w:w="100" w:type="dxa"/>
              <w:bottom w:w="80" w:type="dxa"/>
              <w:right w:w="100" w:type="dxa"/>
            </w:tcMar>
          </w:tcPr>
          <w:p w14:paraId="60F6B78B" w14:textId="77777777" w:rsidR="00002FB7" w:rsidRDefault="00000000">
            <w:r>
              <w:t>Separate source from interpretation</w:t>
            </w:r>
          </w:p>
        </w:tc>
        <w:tc>
          <w:tcPr>
            <w:tcW w:w="5184" w:type="dxa"/>
            <w:shd w:val="clear" w:color="auto" w:fill="F7F9FB"/>
            <w:tcMar>
              <w:top w:w="80" w:type="dxa"/>
              <w:left w:w="100" w:type="dxa"/>
              <w:bottom w:w="80" w:type="dxa"/>
              <w:right w:w="100" w:type="dxa"/>
            </w:tcMar>
          </w:tcPr>
          <w:p w14:paraId="73EC3672" w14:textId="77777777" w:rsidR="00002FB7" w:rsidRDefault="00000000">
            <w:r>
              <w:t>Have the GPT label explicit text versus inference.</w:t>
            </w:r>
          </w:p>
        </w:tc>
      </w:tr>
      <w:tr w:rsidR="00002FB7" w14:paraId="24BD4B60" w14:textId="77777777">
        <w:trPr>
          <w:jc w:val="center"/>
        </w:trPr>
        <w:tc>
          <w:tcPr>
            <w:tcW w:w="5184" w:type="dxa"/>
            <w:tcMar>
              <w:top w:w="80" w:type="dxa"/>
              <w:left w:w="100" w:type="dxa"/>
              <w:bottom w:w="80" w:type="dxa"/>
              <w:right w:w="100" w:type="dxa"/>
            </w:tcMar>
          </w:tcPr>
          <w:p w14:paraId="1C11E257" w14:textId="77777777" w:rsidR="00002FB7" w:rsidRDefault="00000000">
            <w:r>
              <w:t>Keep the original available</w:t>
            </w:r>
          </w:p>
        </w:tc>
        <w:tc>
          <w:tcPr>
            <w:tcW w:w="5184" w:type="dxa"/>
            <w:tcMar>
              <w:top w:w="80" w:type="dxa"/>
              <w:left w:w="100" w:type="dxa"/>
              <w:bottom w:w="80" w:type="dxa"/>
              <w:right w:w="100" w:type="dxa"/>
            </w:tcMar>
          </w:tcPr>
          <w:p w14:paraId="7524EDA2" w14:textId="77777777" w:rsidR="00002FB7" w:rsidRDefault="00000000">
            <w:r>
              <w:t>Never rely only on the generated summary for consequential decisions.</w:t>
            </w:r>
          </w:p>
        </w:tc>
      </w:tr>
      <w:tr w:rsidR="00002FB7" w14:paraId="3474FDCD" w14:textId="77777777">
        <w:trPr>
          <w:jc w:val="center"/>
        </w:trPr>
        <w:tc>
          <w:tcPr>
            <w:tcW w:w="5184" w:type="dxa"/>
            <w:shd w:val="clear" w:color="auto" w:fill="F7F9FB"/>
            <w:tcMar>
              <w:top w:w="80" w:type="dxa"/>
              <w:left w:w="100" w:type="dxa"/>
              <w:bottom w:w="80" w:type="dxa"/>
              <w:right w:w="100" w:type="dxa"/>
            </w:tcMar>
          </w:tcPr>
          <w:p w14:paraId="0D016E88" w14:textId="77777777" w:rsidR="00002FB7" w:rsidRDefault="00000000">
            <w:r>
              <w:t>Check omissions</w:t>
            </w:r>
          </w:p>
        </w:tc>
        <w:tc>
          <w:tcPr>
            <w:tcW w:w="5184" w:type="dxa"/>
            <w:shd w:val="clear" w:color="auto" w:fill="F7F9FB"/>
            <w:tcMar>
              <w:top w:w="80" w:type="dxa"/>
              <w:left w:w="100" w:type="dxa"/>
              <w:bottom w:w="80" w:type="dxa"/>
              <w:right w:w="100" w:type="dxa"/>
            </w:tcMar>
          </w:tcPr>
          <w:p w14:paraId="0AFA03EB" w14:textId="77777777" w:rsidR="00002FB7" w:rsidRDefault="00000000">
            <w:r>
              <w:t>Ask, “What important content did you not include in this summary?”</w:t>
            </w:r>
          </w:p>
        </w:tc>
      </w:tr>
      <w:tr w:rsidR="00002FB7" w14:paraId="45A9E1E4" w14:textId="77777777">
        <w:trPr>
          <w:jc w:val="center"/>
        </w:trPr>
        <w:tc>
          <w:tcPr>
            <w:tcW w:w="5184" w:type="dxa"/>
            <w:tcMar>
              <w:top w:w="80" w:type="dxa"/>
              <w:left w:w="100" w:type="dxa"/>
              <w:bottom w:w="80" w:type="dxa"/>
              <w:right w:w="100" w:type="dxa"/>
            </w:tcMar>
          </w:tcPr>
          <w:p w14:paraId="07397A7E" w14:textId="77777777" w:rsidR="00002FB7" w:rsidRDefault="00000000">
            <w:r>
              <w:t>Verify transformed content</w:t>
            </w:r>
          </w:p>
        </w:tc>
        <w:tc>
          <w:tcPr>
            <w:tcW w:w="5184" w:type="dxa"/>
            <w:tcMar>
              <w:top w:w="80" w:type="dxa"/>
              <w:left w:w="100" w:type="dxa"/>
              <w:bottom w:w="80" w:type="dxa"/>
              <w:right w:w="100" w:type="dxa"/>
            </w:tcMar>
          </w:tcPr>
          <w:p w14:paraId="431CDF28" w14:textId="77777777" w:rsidR="00002FB7" w:rsidRDefault="00000000">
            <w:r>
              <w:t>A checklist or quiz can accidentally omit qualifications or exceptions.</w:t>
            </w:r>
          </w:p>
        </w:tc>
      </w:tr>
      <w:tr w:rsidR="00002FB7" w14:paraId="481CFE19" w14:textId="77777777">
        <w:trPr>
          <w:jc w:val="center"/>
        </w:trPr>
        <w:tc>
          <w:tcPr>
            <w:tcW w:w="5184" w:type="dxa"/>
            <w:shd w:val="clear" w:color="auto" w:fill="F7F9FB"/>
            <w:tcMar>
              <w:top w:w="80" w:type="dxa"/>
              <w:left w:w="100" w:type="dxa"/>
              <w:bottom w:w="80" w:type="dxa"/>
              <w:right w:w="100" w:type="dxa"/>
            </w:tcMar>
          </w:tcPr>
          <w:p w14:paraId="214BB1EF" w14:textId="77777777" w:rsidR="00002FB7" w:rsidRDefault="00000000">
            <w:r>
              <w:t>Use approved tools</w:t>
            </w:r>
          </w:p>
        </w:tc>
        <w:tc>
          <w:tcPr>
            <w:tcW w:w="5184" w:type="dxa"/>
            <w:shd w:val="clear" w:color="auto" w:fill="F7F9FB"/>
            <w:tcMar>
              <w:top w:w="80" w:type="dxa"/>
              <w:left w:w="100" w:type="dxa"/>
              <w:bottom w:w="80" w:type="dxa"/>
              <w:right w:w="100" w:type="dxa"/>
            </w:tcMar>
          </w:tcPr>
          <w:p w14:paraId="6FF5E9F3" w14:textId="77777777" w:rsidR="00002FB7" w:rsidRDefault="00000000">
            <w:r>
              <w:t>Institutional policy should determine what documents or data may be uploaded.</w:t>
            </w:r>
          </w:p>
        </w:tc>
      </w:tr>
    </w:tbl>
    <w:p w14:paraId="1B4CD170" w14:textId="77777777" w:rsidR="00002FB7" w:rsidRDefault="00002FB7"/>
    <w:p w14:paraId="6D0B6CAF" w14:textId="4AA96350" w:rsidR="00002FB7" w:rsidRDefault="00000000">
      <w:pPr>
        <w:pStyle w:val="Heading1"/>
      </w:pPr>
      <w:r>
        <w:lastRenderedPageBreak/>
        <w:t xml:space="preserve">6. </w:t>
      </w:r>
      <w:r w:rsidR="00047D9F">
        <w:t>D</w:t>
      </w:r>
      <w:r>
        <w:t xml:space="preserve">ebrief / </w:t>
      </w:r>
      <w:r w:rsidR="00047D9F">
        <w:t>E</w:t>
      </w:r>
      <w:r>
        <w:t>xpected findings</w:t>
      </w:r>
    </w:p>
    <w:p w14:paraId="6A555BD9" w14:textId="77777777" w:rsidR="00002FB7" w:rsidRDefault="00000000">
      <w:pPr>
        <w:pStyle w:val="Heading2"/>
      </w:pPr>
      <w:r>
        <w:t>Expected findings from the fictional procedure</w:t>
      </w:r>
    </w:p>
    <w:tbl>
      <w:tblPr>
        <w:tblStyle w:val="TableGrid"/>
        <w:tblW w:w="0" w:type="auto"/>
        <w:jc w:val="center"/>
        <w:tblLook w:val="04A0" w:firstRow="1" w:lastRow="0" w:firstColumn="1" w:lastColumn="0" w:noHBand="0" w:noVBand="1"/>
      </w:tblPr>
      <w:tblGrid>
        <w:gridCol w:w="5179"/>
        <w:gridCol w:w="5179"/>
      </w:tblGrid>
      <w:tr w:rsidR="00002FB7" w14:paraId="0E030439" w14:textId="77777777">
        <w:trPr>
          <w:jc w:val="center"/>
        </w:trPr>
        <w:tc>
          <w:tcPr>
            <w:tcW w:w="5184" w:type="dxa"/>
            <w:shd w:val="clear" w:color="auto" w:fill="17365D"/>
          </w:tcPr>
          <w:p w14:paraId="67B191C9" w14:textId="77777777" w:rsidR="00002FB7" w:rsidRDefault="00000000">
            <w:r>
              <w:rPr>
                <w:b/>
                <w:color w:val="FFFFFF"/>
              </w:rPr>
              <w:t>Section</w:t>
            </w:r>
          </w:p>
        </w:tc>
        <w:tc>
          <w:tcPr>
            <w:tcW w:w="5184" w:type="dxa"/>
            <w:shd w:val="clear" w:color="auto" w:fill="17365D"/>
          </w:tcPr>
          <w:p w14:paraId="2232B2D3" w14:textId="77777777" w:rsidR="00002FB7" w:rsidRDefault="00000000">
            <w:r>
              <w:rPr>
                <w:b/>
                <w:color w:val="FFFFFF"/>
              </w:rPr>
              <w:t>Issue to surface</w:t>
            </w:r>
          </w:p>
        </w:tc>
      </w:tr>
      <w:tr w:rsidR="00002FB7" w14:paraId="309AC625" w14:textId="77777777">
        <w:trPr>
          <w:jc w:val="center"/>
        </w:trPr>
        <w:tc>
          <w:tcPr>
            <w:tcW w:w="5184" w:type="dxa"/>
            <w:tcMar>
              <w:top w:w="80" w:type="dxa"/>
              <w:left w:w="100" w:type="dxa"/>
              <w:bottom w:w="80" w:type="dxa"/>
              <w:right w:w="100" w:type="dxa"/>
            </w:tcMar>
          </w:tcPr>
          <w:p w14:paraId="24C5C1B2" w14:textId="77777777" w:rsidR="00002FB7" w:rsidRDefault="00000000">
            <w:r>
              <w:t>4.1 vs 4.2</w:t>
            </w:r>
          </w:p>
        </w:tc>
        <w:tc>
          <w:tcPr>
            <w:tcW w:w="5184" w:type="dxa"/>
            <w:tcMar>
              <w:top w:w="80" w:type="dxa"/>
              <w:left w:w="100" w:type="dxa"/>
              <w:bottom w:w="80" w:type="dxa"/>
              <w:right w:w="100" w:type="dxa"/>
            </w:tcMar>
          </w:tcPr>
          <w:p w14:paraId="51A48BFA" w14:textId="77777777" w:rsidR="00002FB7" w:rsidRDefault="00000000">
            <w:r>
              <w:t>“Every day of patient testing” and “every 24 hours when in use” may not mean the same thing operationally.</w:t>
            </w:r>
          </w:p>
        </w:tc>
      </w:tr>
      <w:tr w:rsidR="00002FB7" w14:paraId="2CDE8827" w14:textId="77777777">
        <w:trPr>
          <w:jc w:val="center"/>
        </w:trPr>
        <w:tc>
          <w:tcPr>
            <w:tcW w:w="5184" w:type="dxa"/>
            <w:shd w:val="clear" w:color="auto" w:fill="F7F9FB"/>
            <w:tcMar>
              <w:top w:w="80" w:type="dxa"/>
              <w:left w:w="100" w:type="dxa"/>
              <w:bottom w:w="80" w:type="dxa"/>
              <w:right w:w="100" w:type="dxa"/>
            </w:tcMar>
          </w:tcPr>
          <w:p w14:paraId="3CB0487E" w14:textId="77777777" w:rsidR="00002FB7" w:rsidRDefault="00000000">
            <w:r>
              <w:t>4.3–4.5</w:t>
            </w:r>
          </w:p>
        </w:tc>
        <w:tc>
          <w:tcPr>
            <w:tcW w:w="5184" w:type="dxa"/>
            <w:shd w:val="clear" w:color="auto" w:fill="F7F9FB"/>
            <w:tcMar>
              <w:top w:w="80" w:type="dxa"/>
              <w:left w:w="100" w:type="dxa"/>
              <w:bottom w:w="80" w:type="dxa"/>
              <w:right w:w="100" w:type="dxa"/>
            </w:tcMar>
          </w:tcPr>
          <w:p w14:paraId="51D9D573" w14:textId="77777777" w:rsidR="00002FB7" w:rsidRDefault="00000000">
            <w:r>
              <w:t>The procedure allows testing during troubleshooting despite unresolved QC failure; this deserves immediate clarification.</w:t>
            </w:r>
          </w:p>
        </w:tc>
      </w:tr>
      <w:tr w:rsidR="00002FB7" w14:paraId="332C4C36" w14:textId="77777777">
        <w:trPr>
          <w:jc w:val="center"/>
        </w:trPr>
        <w:tc>
          <w:tcPr>
            <w:tcW w:w="5184" w:type="dxa"/>
            <w:tcMar>
              <w:top w:w="80" w:type="dxa"/>
              <w:left w:w="100" w:type="dxa"/>
              <w:bottom w:w="80" w:type="dxa"/>
              <w:right w:w="100" w:type="dxa"/>
            </w:tcMar>
          </w:tcPr>
          <w:p w14:paraId="7019FECE" w14:textId="77777777" w:rsidR="00002FB7" w:rsidRDefault="00000000">
            <w:r>
              <w:t>4.4</w:t>
            </w:r>
          </w:p>
        </w:tc>
        <w:tc>
          <w:tcPr>
            <w:tcW w:w="5184" w:type="dxa"/>
            <w:tcMar>
              <w:top w:w="80" w:type="dxa"/>
              <w:left w:w="100" w:type="dxa"/>
              <w:bottom w:w="80" w:type="dxa"/>
              <w:right w:w="100" w:type="dxa"/>
            </w:tcMar>
          </w:tcPr>
          <w:p w14:paraId="30511F58" w14:textId="77777777" w:rsidR="00002FB7" w:rsidRDefault="00000000">
            <w:r>
              <w:t>Notification only during normal business hours leaves unclear what operators should do after hours.</w:t>
            </w:r>
          </w:p>
        </w:tc>
      </w:tr>
      <w:tr w:rsidR="00002FB7" w14:paraId="5A46F205" w14:textId="77777777">
        <w:trPr>
          <w:jc w:val="center"/>
        </w:trPr>
        <w:tc>
          <w:tcPr>
            <w:tcW w:w="5184" w:type="dxa"/>
            <w:shd w:val="clear" w:color="auto" w:fill="F7F9FB"/>
            <w:tcMar>
              <w:top w:w="80" w:type="dxa"/>
              <w:left w:w="100" w:type="dxa"/>
              <w:bottom w:w="80" w:type="dxa"/>
              <w:right w:w="100" w:type="dxa"/>
            </w:tcMar>
          </w:tcPr>
          <w:p w14:paraId="457473E8" w14:textId="77777777" w:rsidR="00002FB7" w:rsidRDefault="00000000">
            <w:r>
              <w:t>5.2</w:t>
            </w:r>
          </w:p>
        </w:tc>
        <w:tc>
          <w:tcPr>
            <w:tcW w:w="5184" w:type="dxa"/>
            <w:shd w:val="clear" w:color="auto" w:fill="F7F9FB"/>
            <w:tcMar>
              <w:top w:w="80" w:type="dxa"/>
              <w:left w:w="100" w:type="dxa"/>
              <w:bottom w:w="80" w:type="dxa"/>
              <w:right w:w="100" w:type="dxa"/>
            </w:tcMar>
          </w:tcPr>
          <w:p w14:paraId="1F8F5F47" w14:textId="77777777" w:rsidR="00002FB7" w:rsidRDefault="00000000">
            <w:r>
              <w:t>The instruction to puncture while alcohol is still wet should be flagged for review rather than accepted blindly.</w:t>
            </w:r>
          </w:p>
        </w:tc>
      </w:tr>
      <w:tr w:rsidR="00002FB7" w14:paraId="2C73B73A" w14:textId="77777777">
        <w:trPr>
          <w:jc w:val="center"/>
        </w:trPr>
        <w:tc>
          <w:tcPr>
            <w:tcW w:w="5184" w:type="dxa"/>
            <w:tcMar>
              <w:top w:w="80" w:type="dxa"/>
              <w:left w:w="100" w:type="dxa"/>
              <w:bottom w:w="80" w:type="dxa"/>
              <w:right w:w="100" w:type="dxa"/>
            </w:tcMar>
          </w:tcPr>
          <w:p w14:paraId="6EBF91BD" w14:textId="77777777" w:rsidR="00002FB7" w:rsidRDefault="00000000">
            <w:r>
              <w:t>5.4 vs 5.6</w:t>
            </w:r>
          </w:p>
        </w:tc>
        <w:tc>
          <w:tcPr>
            <w:tcW w:w="5184" w:type="dxa"/>
            <w:tcMar>
              <w:top w:w="80" w:type="dxa"/>
              <w:left w:w="100" w:type="dxa"/>
              <w:bottom w:w="80" w:type="dxa"/>
              <w:right w:w="100" w:type="dxa"/>
            </w:tcMar>
          </w:tcPr>
          <w:p w14:paraId="4646FD64" w14:textId="77777777" w:rsidR="00002FB7" w:rsidRDefault="00000000">
            <w:r>
              <w:t>The upper critical threshold is stated as &gt;500 mg/dL while another section separately addresses &gt;600 mg/dL, creating ambiguity.</w:t>
            </w:r>
          </w:p>
        </w:tc>
      </w:tr>
      <w:tr w:rsidR="00002FB7" w14:paraId="58A15A05" w14:textId="77777777">
        <w:trPr>
          <w:jc w:val="center"/>
        </w:trPr>
        <w:tc>
          <w:tcPr>
            <w:tcW w:w="5184" w:type="dxa"/>
            <w:shd w:val="clear" w:color="auto" w:fill="F7F9FB"/>
            <w:tcMar>
              <w:top w:w="80" w:type="dxa"/>
              <w:left w:w="100" w:type="dxa"/>
              <w:bottom w:w="80" w:type="dxa"/>
              <w:right w:w="100" w:type="dxa"/>
            </w:tcMar>
          </w:tcPr>
          <w:p w14:paraId="6E48F400" w14:textId="77777777" w:rsidR="00002FB7" w:rsidRDefault="00000000">
            <w:r>
              <w:t>5.5</w:t>
            </w:r>
          </w:p>
        </w:tc>
        <w:tc>
          <w:tcPr>
            <w:tcW w:w="5184" w:type="dxa"/>
            <w:shd w:val="clear" w:color="auto" w:fill="F7F9FB"/>
            <w:tcMar>
              <w:top w:w="80" w:type="dxa"/>
              <w:left w:w="100" w:type="dxa"/>
              <w:bottom w:w="80" w:type="dxa"/>
              <w:right w:w="100" w:type="dxa"/>
            </w:tcMar>
          </w:tcPr>
          <w:p w14:paraId="7FC58C39" w14:textId="77777777" w:rsidR="00002FB7" w:rsidRDefault="00000000">
            <w:r>
              <w:t>“Should be called” is less clear than a defined required action, responsible person, and documentation step.</w:t>
            </w:r>
          </w:p>
        </w:tc>
      </w:tr>
      <w:tr w:rsidR="00002FB7" w14:paraId="1EC5CD2B" w14:textId="77777777">
        <w:trPr>
          <w:jc w:val="center"/>
        </w:trPr>
        <w:tc>
          <w:tcPr>
            <w:tcW w:w="5184" w:type="dxa"/>
            <w:tcMar>
              <w:top w:w="80" w:type="dxa"/>
              <w:left w:w="100" w:type="dxa"/>
              <w:bottom w:w="80" w:type="dxa"/>
              <w:right w:w="100" w:type="dxa"/>
            </w:tcMar>
          </w:tcPr>
          <w:p w14:paraId="410760A3" w14:textId="77777777" w:rsidR="00002FB7" w:rsidRDefault="00000000">
            <w:r>
              <w:t>6.3 vs 6.4</w:t>
            </w:r>
          </w:p>
        </w:tc>
        <w:tc>
          <w:tcPr>
            <w:tcW w:w="5184" w:type="dxa"/>
            <w:tcMar>
              <w:top w:w="80" w:type="dxa"/>
              <w:left w:w="100" w:type="dxa"/>
              <w:bottom w:w="80" w:type="dxa"/>
              <w:right w:w="100" w:type="dxa"/>
            </w:tcMar>
          </w:tcPr>
          <w:p w14:paraId="5313197E" w14:textId="77777777" w:rsidR="00002FB7" w:rsidRDefault="00000000">
            <w:r>
              <w:t>Both the clinical unit and POCT office are stated to maintain all competency records, creating unclear ownership.</w:t>
            </w:r>
          </w:p>
        </w:tc>
      </w:tr>
    </w:tbl>
    <w:p w14:paraId="255CAEA8" w14:textId="77777777" w:rsidR="00002FB7" w:rsidRDefault="00000000">
      <w:pPr>
        <w:pStyle w:val="Heading2"/>
      </w:pPr>
      <w:r>
        <w:t>Questions to ask the room</w:t>
      </w:r>
    </w:p>
    <w:p w14:paraId="6FA53A2C" w14:textId="77777777" w:rsidR="00002FB7" w:rsidRDefault="00000000">
      <w:pPr>
        <w:pStyle w:val="ListBullet"/>
        <w:spacing w:after="40"/>
      </w:pPr>
      <w:r>
        <w:t>What did the GPT find that you missed?</w:t>
      </w:r>
    </w:p>
    <w:p w14:paraId="30B58D57" w14:textId="77777777" w:rsidR="00002FB7" w:rsidRDefault="00000000">
      <w:pPr>
        <w:pStyle w:val="ListBullet"/>
        <w:spacing w:after="40"/>
      </w:pPr>
      <w:r>
        <w:t>What did you find that the GPT missed?</w:t>
      </w:r>
    </w:p>
    <w:p w14:paraId="3FFC16E6" w14:textId="77777777" w:rsidR="00002FB7" w:rsidRDefault="00000000">
      <w:pPr>
        <w:pStyle w:val="ListBullet"/>
        <w:spacing w:after="40"/>
      </w:pPr>
      <w:r>
        <w:t>Did it ever convert ambiguity into a confident recommendation?</w:t>
      </w:r>
    </w:p>
    <w:p w14:paraId="45075CA8" w14:textId="77777777" w:rsidR="00002FB7" w:rsidRDefault="00000000">
      <w:pPr>
        <w:pStyle w:val="ListBullet"/>
        <w:spacing w:after="40"/>
      </w:pPr>
      <w:r>
        <w:t>Which findings could be resolved from the document alone?</w:t>
      </w:r>
    </w:p>
    <w:p w14:paraId="467A7079" w14:textId="77777777" w:rsidR="00002FB7" w:rsidRDefault="00000000">
      <w:pPr>
        <w:pStyle w:val="ListBullet"/>
        <w:spacing w:after="40"/>
      </w:pPr>
      <w:r>
        <w:t>Which findings would require the IFU, institutional policy, or regulatory source?</w:t>
      </w:r>
    </w:p>
    <w:p w14:paraId="6239AAD2" w14:textId="77777777" w:rsidR="00002FB7" w:rsidRDefault="00000000">
      <w:pPr>
        <w:pStyle w:val="ListBullet"/>
        <w:spacing w:after="40"/>
      </w:pPr>
      <w:r>
        <w:t>Would you approve a procedure based only on the GPT's review? Why not?</w:t>
      </w:r>
    </w:p>
    <w:tbl>
      <w:tblPr>
        <w:tblW w:w="0" w:type="auto"/>
        <w:jc w:val="center"/>
        <w:tblLook w:val="04A0" w:firstRow="1" w:lastRow="0" w:firstColumn="1" w:lastColumn="0" w:noHBand="0" w:noVBand="1"/>
      </w:tblPr>
      <w:tblGrid>
        <w:gridCol w:w="10368"/>
      </w:tblGrid>
      <w:tr w:rsidR="00002FB7" w14:paraId="1892AB78" w14:textId="77777777">
        <w:trPr>
          <w:jc w:val="center"/>
        </w:trPr>
        <w:tc>
          <w:tcPr>
            <w:tcW w:w="10368" w:type="dxa"/>
            <w:shd w:val="clear" w:color="auto" w:fill="D9EAF7"/>
            <w:tcMar>
              <w:top w:w="100" w:type="dxa"/>
              <w:left w:w="130" w:type="dxa"/>
              <w:bottom w:w="100" w:type="dxa"/>
              <w:right w:w="130" w:type="dxa"/>
            </w:tcMar>
          </w:tcPr>
          <w:p w14:paraId="595B2476" w14:textId="77777777" w:rsidR="00002FB7" w:rsidRDefault="00000000">
            <w:r>
              <w:rPr>
                <w:b/>
                <w:color w:val="17365D"/>
              </w:rPr>
              <w:t xml:space="preserve">Core message:  </w:t>
            </w:r>
            <w:r>
              <w:t>The best use is often not “Tell me the answer.” It is “Help me interrogate, organize, compare, and transform the information I already have.”</w:t>
            </w:r>
          </w:p>
        </w:tc>
      </w:tr>
    </w:tbl>
    <w:p w14:paraId="2FF8CD29" w14:textId="77777777" w:rsidR="00126033" w:rsidRDefault="00126033"/>
    <w:sectPr w:rsidR="00126033" w:rsidSect="00034616">
      <w:headerReference w:type="default" r:id="rId8"/>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7E2882" w14:textId="77777777" w:rsidR="007659C9" w:rsidRDefault="007659C9">
      <w:pPr>
        <w:spacing w:after="0" w:line="240" w:lineRule="auto"/>
      </w:pPr>
      <w:r>
        <w:separator/>
      </w:r>
    </w:p>
  </w:endnote>
  <w:endnote w:type="continuationSeparator" w:id="0">
    <w:p w14:paraId="15653D44" w14:textId="77777777" w:rsidR="007659C9" w:rsidRDefault="00765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96CB7F" w14:textId="77777777" w:rsidR="00002FB7" w:rsidRDefault="00000000">
    <w:pPr>
      <w:pStyle w:val="Footer"/>
      <w:jc w:val="center"/>
    </w:pPr>
    <w:r>
      <w:rPr>
        <w:color w:val="666666"/>
        <w:sz w:val="16"/>
      </w:rPr>
      <w:t>Workshop handout • Analyze approved, de-identified, or non-sensitive content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D81230" w14:textId="77777777" w:rsidR="007659C9" w:rsidRDefault="007659C9">
      <w:pPr>
        <w:spacing w:after="0" w:line="240" w:lineRule="auto"/>
      </w:pPr>
      <w:r>
        <w:separator/>
      </w:r>
    </w:p>
  </w:footnote>
  <w:footnote w:type="continuationSeparator" w:id="0">
    <w:p w14:paraId="49A3F9F5" w14:textId="77777777" w:rsidR="007659C9" w:rsidRDefault="007659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CD21B6" w14:textId="380124D2" w:rsidR="00002FB7" w:rsidRPr="000E3B81" w:rsidRDefault="000E3B81" w:rsidP="000E3B81">
    <w:pPr>
      <w:pStyle w:val="Header"/>
      <w:jc w:val="right"/>
    </w:pPr>
    <w:r>
      <w:rPr>
        <w:color w:val="666666"/>
        <w:sz w:val="17"/>
      </w:rPr>
      <w:t>University of Pittsburgh – Computational Pathology and AI Center of Excellence (CPACE)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87145290">
    <w:abstractNumId w:val="8"/>
  </w:num>
  <w:num w:numId="2" w16cid:durableId="914165088">
    <w:abstractNumId w:val="6"/>
  </w:num>
  <w:num w:numId="3" w16cid:durableId="359742392">
    <w:abstractNumId w:val="5"/>
  </w:num>
  <w:num w:numId="4" w16cid:durableId="474688093">
    <w:abstractNumId w:val="4"/>
  </w:num>
  <w:num w:numId="5" w16cid:durableId="1124040534">
    <w:abstractNumId w:val="7"/>
  </w:num>
  <w:num w:numId="6" w16cid:durableId="1278096815">
    <w:abstractNumId w:val="3"/>
  </w:num>
  <w:num w:numId="7" w16cid:durableId="174424000">
    <w:abstractNumId w:val="2"/>
  </w:num>
  <w:num w:numId="8" w16cid:durableId="1031998307">
    <w:abstractNumId w:val="1"/>
  </w:num>
  <w:num w:numId="9" w16cid:durableId="187531451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FB7"/>
    <w:rsid w:val="00034616"/>
    <w:rsid w:val="00047D9F"/>
    <w:rsid w:val="0006063C"/>
    <w:rsid w:val="000B1409"/>
    <w:rsid w:val="000E3B81"/>
    <w:rsid w:val="00126033"/>
    <w:rsid w:val="0015074B"/>
    <w:rsid w:val="002626BF"/>
    <w:rsid w:val="0029639D"/>
    <w:rsid w:val="00326F90"/>
    <w:rsid w:val="00444E50"/>
    <w:rsid w:val="00474707"/>
    <w:rsid w:val="004E2F33"/>
    <w:rsid w:val="007652BF"/>
    <w:rsid w:val="007659C9"/>
    <w:rsid w:val="0088601E"/>
    <w:rsid w:val="009B73BD"/>
    <w:rsid w:val="00AA1D8D"/>
    <w:rsid w:val="00B47730"/>
    <w:rsid w:val="00CB0664"/>
    <w:rsid w:val="00E006A5"/>
    <w:rsid w:val="00FC422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B43E2F"/>
  <w14:defaultImageDpi w14:val="300"/>
  <w15:docId w15:val="{ECDC9472-6399-5248-A70A-BF2DE5AEB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sz w:val="20"/>
    </w:rPr>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color w:val="2F75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FA99CD3DF87B34DA71835D03ADFAC51" ma:contentTypeVersion="16" ma:contentTypeDescription="Create a new document." ma:contentTypeScope="" ma:versionID="a1c44243634b9ed2fcd1255729417c97">
  <xsd:schema xmlns:xsd="http://www.w3.org/2001/XMLSchema" xmlns:xs="http://www.w3.org/2001/XMLSchema" xmlns:p="http://schemas.microsoft.com/office/2006/metadata/properties" xmlns:ns2="5209ea11-3884-410a-a436-0e0e9fa818b1" xmlns:ns3="60253ea7-35f4-4dd6-b378-a686d1967733" targetNamespace="http://schemas.microsoft.com/office/2006/metadata/properties" ma:root="true" ma:fieldsID="46afbfedbf4bc9db567c792201da8788" ns2:_="" ns3:_="">
    <xsd:import namespace="5209ea11-3884-410a-a436-0e0e9fa818b1"/>
    <xsd:import namespace="60253ea7-35f4-4dd6-b378-a686d19677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9ea11-3884-410a-a436-0e0e9fa818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50f3c69-1d6a-4099-826a-1ff1ac42e45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253ea7-35f4-4dd6-b378-a686d19677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37f227-d4b0-4ba5-a15d-6fbeaf9c4a08}" ma:internalName="TaxCatchAll" ma:showField="CatchAllData" ma:web="60253ea7-35f4-4dd6-b378-a686d196773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0253ea7-35f4-4dd6-b378-a686d1967733" xsi:nil="true"/>
    <lcf76f155ced4ddcb4097134ff3c332f xmlns="5209ea11-3884-410a-a436-0e0e9fa818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B9B93FA-EA21-4186-89C2-1A961ADDD51C}"/>
</file>

<file path=customXml/itemProps3.xml><?xml version="1.0" encoding="utf-8"?>
<ds:datastoreItem xmlns:ds="http://schemas.openxmlformats.org/officeDocument/2006/customXml" ds:itemID="{CCAD60BD-F42B-4195-A384-E70842AFAA93}"/>
</file>

<file path=customXml/itemProps4.xml><?xml version="1.0" encoding="utf-8"?>
<ds:datastoreItem xmlns:ds="http://schemas.openxmlformats.org/officeDocument/2006/customXml" ds:itemID="{B7BCAF6B-DC57-4956-A65A-482B91534603}"/>
</file>

<file path=docProps/app.xml><?xml version="1.0" encoding="utf-8"?>
<Properties xmlns="http://schemas.openxmlformats.org/officeDocument/2006/extended-properties" xmlns:vt="http://schemas.openxmlformats.org/officeDocument/2006/docPropsVTypes">
  <Template>Normal.dotm</Template>
  <TotalTime>1</TotalTime>
  <Pages>5</Pages>
  <Words>1423</Words>
  <Characters>8385</Characters>
  <Application>Microsoft Office Word</Application>
  <DocSecurity>0</DocSecurity>
  <Lines>199</Lines>
  <Paragraphs>132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Tran, Nam K</cp:lastModifiedBy>
  <cp:revision>4</cp:revision>
  <dcterms:created xsi:type="dcterms:W3CDTF">2026-08-20T04:43:00Z</dcterms:created>
  <dcterms:modified xsi:type="dcterms:W3CDTF">2026-08-31T22:17:00Z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4b1be8-281e-475d-98b0-21c3457e5a46_Enabled">
    <vt:lpwstr>true</vt:lpwstr>
  </property>
  <property fmtid="{D5CDD505-2E9C-101B-9397-08002B2CF9AE}" pid="3" name="MSIP_Label_5e4b1be8-281e-475d-98b0-21c3457e5a46_SetDate">
    <vt:lpwstr>2026-08-09T06:45:20Z</vt:lpwstr>
  </property>
  <property fmtid="{D5CDD505-2E9C-101B-9397-08002B2CF9AE}" pid="4" name="MSIP_Label_5e4b1be8-281e-475d-98b0-21c3457e5a46_Method">
    <vt:lpwstr>Standard</vt:lpwstr>
  </property>
  <property fmtid="{D5CDD505-2E9C-101B-9397-08002B2CF9AE}" pid="5" name="MSIP_Label_5e4b1be8-281e-475d-98b0-21c3457e5a46_Name">
    <vt:lpwstr>Public</vt:lpwstr>
  </property>
  <property fmtid="{D5CDD505-2E9C-101B-9397-08002B2CF9AE}" pid="6" name="MSIP_Label_5e4b1be8-281e-475d-98b0-21c3457e5a46_SiteId">
    <vt:lpwstr>8b3dd73e-4e72-4679-b191-56da1588712b</vt:lpwstr>
  </property>
  <property fmtid="{D5CDD505-2E9C-101B-9397-08002B2CF9AE}" pid="7" name="MSIP_Label_5e4b1be8-281e-475d-98b0-21c3457e5a46_ActionId">
    <vt:lpwstr>ff925a5d-7722-48c2-9d82-8224797523c8</vt:lpwstr>
  </property>
  <property fmtid="{D5CDD505-2E9C-101B-9397-08002B2CF9AE}" pid="8" name="MSIP_Label_5e4b1be8-281e-475d-98b0-21c3457e5a46_ContentBits">
    <vt:lpwstr>0</vt:lpwstr>
  </property>
  <property fmtid="{D5CDD505-2E9C-101B-9397-08002B2CF9AE}" pid="9" name="MSIP_Label_5e4b1be8-281e-475d-98b0-21c3457e5a46_Tag">
    <vt:lpwstr>50, 3, 0, 1</vt:lpwstr>
  </property>
  <property fmtid="{D5CDD505-2E9C-101B-9397-08002B2CF9AE}" pid="10" name="ContentTypeId">
    <vt:lpwstr>0x010100AFA99CD3DF87B34DA71835D03ADFAC51</vt:lpwstr>
  </property>
</Properties>
</file>