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10368"/>
      </w:tblGrid>
      <w:tr>
        <w:tc>
          <w:tcPr>
            <w:tcW w:type="dxa" w:w="10368"/>
            <w:shd w:fill="FCE4D6"/>
            <w:tcMar>
              <w:top w:w="70" w:type="dxa"/>
              <w:start w:w="100" w:type="dxa"/>
              <w:bottom w:w="70" w:type="dxa"/>
              <w:end w:w="100" w:type="dxa"/>
            </w:tcMar>
          </w:tcPr>
          <w:p>
            <w:pPr>
              <w:jc w:val="center"/>
            </w:pPr>
            <w:r>
              <w:rPr>
                <w:b/>
                <w:color w:val="9C0006"/>
                <w:sz w:val="20"/>
              </w:rPr>
              <w:t>FICTIONAL TRAINING DOCUMENT — CONTAINS INTENTIONAL AMBIGUITIES AND INCONSISTENCIES</w:t>
            </w:r>
          </w:p>
        </w:tc>
      </w:tr>
    </w:tbl>
    <w:p>
      <w:pPr>
        <w:pStyle w:val="Title"/>
        <w:jc w:val="center"/>
      </w:pPr>
      <w:r>
        <w:t>POINT-OF-CARE BLOOD GLUCOSE TESTING</w:t>
      </w:r>
    </w:p>
    <w:p>
      <w:pPr>
        <w:jc w:val="center"/>
      </w:pPr>
      <w:r>
        <w:rPr>
          <w:b/>
          <w:sz w:val="20"/>
        </w:rPr>
        <w:t>Procedure No. POCT-GLU-014 | Version 6.2 | Effective Date: July 1, 2026</w:t>
      </w:r>
    </w:p>
    <w:tbl>
      <w:tblPr>
        <w:tblStyle w:val="TableGrid"/>
        <w:tblW w:type="auto" w:w="0"/>
        <w:jc w:val="center"/>
        <w:tblLook w:firstColumn="1" w:firstRow="1" w:lastColumn="0" w:lastRow="0" w:noHBand="0" w:noVBand="1" w:val="04A0"/>
      </w:tblPr>
      <w:tblGrid>
        <w:gridCol w:w="2592"/>
        <w:gridCol w:w="2592"/>
        <w:gridCol w:w="2592"/>
        <w:gridCol w:w="2592"/>
      </w:tblGrid>
      <w:tr>
        <w:tc>
          <w:tcPr>
            <w:tcW w:type="dxa" w:w="2592"/>
            <w:tcMar>
              <w:top w:w="60" w:type="dxa"/>
              <w:start w:w="80" w:type="dxa"/>
              <w:bottom w:w="60" w:type="dxa"/>
              <w:end w:w="80" w:type="dxa"/>
            </w:tcMar>
            <w:shd w:fill="D9EAF7"/>
          </w:tcPr>
          <w:p>
            <w:r>
              <w:rPr>
                <w:b/>
              </w:rPr>
              <w:t>Department</w:t>
            </w:r>
          </w:p>
        </w:tc>
        <w:tc>
          <w:tcPr>
            <w:tcW w:type="dxa" w:w="2592"/>
            <w:tcMar>
              <w:top w:w="60" w:type="dxa"/>
              <w:start w:w="80" w:type="dxa"/>
              <w:bottom w:w="60" w:type="dxa"/>
              <w:end w:w="80" w:type="dxa"/>
            </w:tcMar>
          </w:tcPr>
          <w:p>
            <w:r>
              <w:t>Point-of-Care Testing</w:t>
            </w:r>
          </w:p>
        </w:tc>
        <w:tc>
          <w:tcPr>
            <w:tcW w:type="dxa" w:w="2592"/>
            <w:tcMar>
              <w:top w:w="60" w:type="dxa"/>
              <w:start w:w="80" w:type="dxa"/>
              <w:bottom w:w="60" w:type="dxa"/>
              <w:end w:w="80" w:type="dxa"/>
            </w:tcMar>
            <w:shd w:fill="D9EAF7"/>
          </w:tcPr>
          <w:p>
            <w:r>
              <w:rPr>
                <w:b/>
              </w:rPr>
              <w:t>Review Cycle</w:t>
            </w:r>
          </w:p>
        </w:tc>
        <w:tc>
          <w:tcPr>
            <w:tcW w:type="dxa" w:w="2592"/>
            <w:tcMar>
              <w:top w:w="60" w:type="dxa"/>
              <w:start w:w="80" w:type="dxa"/>
              <w:bottom w:w="60" w:type="dxa"/>
              <w:end w:w="80" w:type="dxa"/>
            </w:tcMar>
          </w:tcPr>
          <w:p>
            <w:r>
              <w:t>Annual</w:t>
            </w:r>
          </w:p>
        </w:tc>
      </w:tr>
      <w:tr>
        <w:tc>
          <w:tcPr>
            <w:tcW w:type="dxa" w:w="2592"/>
            <w:tcMar>
              <w:top w:w="60" w:type="dxa"/>
              <w:start w:w="80" w:type="dxa"/>
              <w:bottom w:w="60" w:type="dxa"/>
              <w:end w:w="80" w:type="dxa"/>
            </w:tcMar>
            <w:shd w:fill="D9EAF7"/>
          </w:tcPr>
          <w:p>
            <w:r>
              <w:rPr>
                <w:b/>
              </w:rPr>
              <w:t>Applies To</w:t>
            </w:r>
          </w:p>
        </w:tc>
        <w:tc>
          <w:tcPr>
            <w:tcW w:type="dxa" w:w="2592"/>
            <w:tcMar>
              <w:top w:w="60" w:type="dxa"/>
              <w:start w:w="80" w:type="dxa"/>
              <w:bottom w:w="60" w:type="dxa"/>
              <w:end w:w="80" w:type="dxa"/>
            </w:tcMar>
          </w:tcPr>
          <w:p>
            <w:r>
              <w:t>Adult inpatient, ED, ambulatory, and procedural areas</w:t>
            </w:r>
          </w:p>
        </w:tc>
        <w:tc>
          <w:tcPr>
            <w:tcW w:type="dxa" w:w="2592"/>
            <w:tcMar>
              <w:top w:w="60" w:type="dxa"/>
              <w:start w:w="80" w:type="dxa"/>
              <w:bottom w:w="60" w:type="dxa"/>
              <w:end w:w="80" w:type="dxa"/>
            </w:tcMar>
            <w:shd w:fill="D9EAF7"/>
          </w:tcPr>
          <w:p>
            <w:r>
              <w:rPr>
                <w:b/>
              </w:rPr>
              <w:t>Supersedes</w:t>
            </w:r>
          </w:p>
        </w:tc>
        <w:tc>
          <w:tcPr>
            <w:tcW w:type="dxa" w:w="2592"/>
            <w:tcMar>
              <w:top w:w="60" w:type="dxa"/>
              <w:start w:w="80" w:type="dxa"/>
              <w:bottom w:w="60" w:type="dxa"/>
              <w:end w:w="80" w:type="dxa"/>
            </w:tcMar>
          </w:tcPr>
          <w:p>
            <w:r>
              <w:t>Version 6.1</w:t>
            </w:r>
          </w:p>
        </w:tc>
      </w:tr>
      <w:tr>
        <w:tc>
          <w:tcPr>
            <w:tcW w:type="dxa" w:w="2592"/>
            <w:tcMar>
              <w:top w:w="60" w:type="dxa"/>
              <w:start w:w="80" w:type="dxa"/>
              <w:bottom w:w="60" w:type="dxa"/>
              <w:end w:w="80" w:type="dxa"/>
            </w:tcMar>
            <w:shd w:fill="D9EAF7"/>
          </w:tcPr>
          <w:p>
            <w:r>
              <w:rPr>
                <w:b/>
              </w:rPr>
              <w:t>Medical Director</w:t>
            </w:r>
          </w:p>
        </w:tc>
        <w:tc>
          <w:tcPr>
            <w:tcW w:type="dxa" w:w="2592"/>
            <w:tcMar>
              <w:top w:w="60" w:type="dxa"/>
              <w:start w:w="80" w:type="dxa"/>
              <w:bottom w:w="60" w:type="dxa"/>
              <w:end w:w="80" w:type="dxa"/>
            </w:tcMar>
          </w:tcPr>
          <w:p>
            <w:r>
              <w:t>A. Morgan, MD</w:t>
            </w:r>
          </w:p>
        </w:tc>
        <w:tc>
          <w:tcPr>
            <w:tcW w:type="dxa" w:w="2592"/>
            <w:tcMar>
              <w:top w:w="60" w:type="dxa"/>
              <w:start w:w="80" w:type="dxa"/>
              <w:bottom w:w="60" w:type="dxa"/>
              <w:end w:w="80" w:type="dxa"/>
            </w:tcMar>
            <w:shd w:fill="D9EAF7"/>
          </w:tcPr>
          <w:p>
            <w:r>
              <w:rPr>
                <w:b/>
              </w:rPr>
              <w:t>Technical Director</w:t>
            </w:r>
          </w:p>
        </w:tc>
        <w:tc>
          <w:tcPr>
            <w:tcW w:type="dxa" w:w="2592"/>
            <w:tcMar>
              <w:top w:w="60" w:type="dxa"/>
              <w:start w:w="80" w:type="dxa"/>
              <w:bottom w:w="60" w:type="dxa"/>
              <w:end w:w="80" w:type="dxa"/>
            </w:tcMar>
          </w:tcPr>
          <w:p>
            <w:r>
              <w:t>R. Chen, MLS(ASCP)</w:t>
            </w:r>
          </w:p>
        </w:tc>
      </w:tr>
      <w:tr>
        <w:tc>
          <w:tcPr>
            <w:tcW w:type="dxa" w:w="2592"/>
            <w:tcMar>
              <w:top w:w="60" w:type="dxa"/>
              <w:start w:w="80" w:type="dxa"/>
              <w:bottom w:w="60" w:type="dxa"/>
              <w:end w:w="80" w:type="dxa"/>
            </w:tcMar>
            <w:shd w:fill="D9EAF7"/>
          </w:tcPr>
          <w:p>
            <w:r>
              <w:rPr>
                <w:b/>
              </w:rPr>
              <w:t>Approved By</w:t>
            </w:r>
          </w:p>
        </w:tc>
        <w:tc>
          <w:tcPr>
            <w:tcW w:type="dxa" w:w="2592"/>
            <w:tcMar>
              <w:top w:w="60" w:type="dxa"/>
              <w:start w:w="80" w:type="dxa"/>
              <w:bottom w:w="60" w:type="dxa"/>
              <w:end w:w="80" w:type="dxa"/>
            </w:tcMar>
          </w:tcPr>
          <w:p>
            <w:r>
              <w:t>POCT Steering Committee</w:t>
            </w:r>
          </w:p>
        </w:tc>
        <w:tc>
          <w:tcPr>
            <w:tcW w:type="dxa" w:w="2592"/>
            <w:tcMar>
              <w:top w:w="60" w:type="dxa"/>
              <w:start w:w="80" w:type="dxa"/>
              <w:bottom w:w="60" w:type="dxa"/>
              <w:end w:w="80" w:type="dxa"/>
            </w:tcMar>
            <w:shd w:fill="D9EAF7"/>
          </w:tcPr>
          <w:p>
            <w:r>
              <w:rPr>
                <w:b/>
              </w:rPr>
              <w:t>Next Review</w:t>
            </w:r>
          </w:p>
        </w:tc>
        <w:tc>
          <w:tcPr>
            <w:tcW w:type="dxa" w:w="2592"/>
            <w:tcMar>
              <w:top w:w="60" w:type="dxa"/>
              <w:start w:w="80" w:type="dxa"/>
              <w:bottom w:w="60" w:type="dxa"/>
              <w:end w:w="80" w:type="dxa"/>
            </w:tcMar>
          </w:tcPr>
          <w:p>
            <w:r>
              <w:t>June 2027</w:t>
            </w:r>
          </w:p>
        </w:tc>
      </w:tr>
    </w:tbl>
    <w:tbl>
      <w:tblPr>
        <w:tblW w:type="auto" w:w="0"/>
        <w:jc w:val="center"/>
        <w:tblLook w:firstColumn="1" w:firstRow="1" w:lastColumn="0" w:lastRow="0" w:noHBand="0" w:noVBand="1" w:val="04A0"/>
      </w:tblPr>
      <w:tblGrid>
        <w:gridCol w:w="10368"/>
      </w:tblGrid>
      <w:tr>
        <w:tc>
          <w:tcPr>
            <w:tcW w:type="dxa" w:w="10368"/>
            <w:shd w:fill="FFF2CC"/>
            <w:tcMar>
              <w:top w:w="80" w:type="dxa"/>
              <w:start w:w="100" w:type="dxa"/>
              <w:bottom w:w="80" w:type="dxa"/>
              <w:end w:w="100" w:type="dxa"/>
            </w:tcMar>
          </w:tcPr>
          <w:p>
            <w:pPr>
              <w:spacing w:after="0"/>
            </w:pPr>
            <w:r>
              <w:t>This procedure is synthetic. All hospital names, staff names, device identifiers, ranges, and scenarios are fictional and are provided solely for workshop analysis. Do not use this document for patient testing or regulatory decisions.</w:t>
            </w:r>
          </w:p>
        </w:tc>
      </w:tr>
    </w:tbl>
    <w:p>
      <w:pPr>
        <w:pStyle w:val="Heading1"/>
      </w:pPr>
      <w:r>
        <w:t>1. Purpose</w:t>
      </w:r>
    </w:p>
    <w:p>
      <w:r>
        <w:t>To describe the standardized process for bedside and near-patient whole blood glucose testing using the NovaSure GX glucose meter system at participating Northstar Health Network facilities.</w:t>
      </w:r>
    </w:p>
    <w:p>
      <w:pPr>
        <w:pStyle w:val="Heading1"/>
      </w:pPr>
      <w:r>
        <w:t>2. Scope</w:t>
      </w:r>
    </w:p>
    <w:p>
      <w:r>
        <w:t>This procedure applies to trained nursing, respiratory therapy, emergency medical, laboratory, and designated clinical support personnel who perform capillary, venous, or arterial glucose testing outside the central laboratory.</w:t>
      </w:r>
    </w:p>
    <w:p>
      <w:pPr>
        <w:pStyle w:val="ListBullet"/>
        <w:spacing w:after="20"/>
      </w:pPr>
      <w:r>
        <w:t>Testing may be performed on adults and pediatric patients when ordered or permitted by local clinical protocol.</w:t>
      </w:r>
    </w:p>
    <w:p>
      <w:pPr>
        <w:pStyle w:val="ListBullet"/>
        <w:spacing w:after="20"/>
      </w:pPr>
      <w:r>
        <w:t>Neonatal testing is permitted only in the Neonatal Intensive Care Unit (NICU).</w:t>
      </w:r>
    </w:p>
    <w:p>
      <w:pPr>
        <w:pStyle w:val="ListBullet"/>
        <w:spacing w:after="20"/>
      </w:pPr>
      <w:r>
        <w:t>Meters are connected to the POCT data management system and transmit results to the electronic health record (EHR).</w:t>
      </w:r>
    </w:p>
    <w:p>
      <w:pPr>
        <w:pStyle w:val="Heading1"/>
      </w:pPr>
      <w:r>
        <w:t>3. Responsibilities</w:t>
      </w:r>
    </w:p>
    <w:tbl>
      <w:tblPr>
        <w:tblStyle w:val="TableGrid"/>
        <w:tblW w:type="auto" w:w="0"/>
        <w:jc w:val="center"/>
        <w:tblLook w:firstColumn="1" w:firstRow="1" w:lastColumn="0" w:lastRow="0" w:noHBand="0" w:noVBand="1" w:val="04A0"/>
      </w:tblPr>
      <w:tblGrid>
        <w:gridCol w:w="5184"/>
        <w:gridCol w:w="5184"/>
      </w:tblGrid>
      <w:tr>
        <w:tc>
          <w:tcPr>
            <w:tcW w:type="dxa" w:w="5184"/>
            <w:shd w:fill="17365D"/>
          </w:tcPr>
          <w:p>
            <w:r>
              <w:rPr>
                <w:b/>
                <w:color w:val="FFFFFF"/>
              </w:rPr>
              <w:t>Role</w:t>
            </w:r>
          </w:p>
        </w:tc>
        <w:tc>
          <w:tcPr>
            <w:tcW w:type="dxa" w:w="5184"/>
            <w:shd w:fill="17365D"/>
          </w:tcPr>
          <w:p>
            <w:r>
              <w:rPr>
                <w:b/>
                <w:color w:val="FFFFFF"/>
              </w:rPr>
              <w:t>Responsibility</w:t>
            </w:r>
          </w:p>
        </w:tc>
      </w:tr>
      <w:tr>
        <w:tc>
          <w:tcPr>
            <w:tcW w:type="dxa" w:w="5184"/>
            <w:tcMar>
              <w:top w:w="60" w:type="dxa"/>
              <w:start w:w="80" w:type="dxa"/>
              <w:bottom w:w="60" w:type="dxa"/>
              <w:end w:w="80" w:type="dxa"/>
            </w:tcMar>
          </w:tcPr>
          <w:p>
            <w:r>
              <w:t>Operator</w:t>
            </w:r>
          </w:p>
        </w:tc>
        <w:tc>
          <w:tcPr>
            <w:tcW w:type="dxa" w:w="5184"/>
            <w:tcMar>
              <w:top w:w="60" w:type="dxa"/>
              <w:start w:w="80" w:type="dxa"/>
              <w:bottom w:w="60" w:type="dxa"/>
              <w:end w:w="80" w:type="dxa"/>
            </w:tcMar>
          </w:tcPr>
          <w:p>
            <w:r>
              <w:t>Perform testing according to this procedure; review results before release; document required follow-up.</w:t>
            </w:r>
          </w:p>
        </w:tc>
      </w:tr>
      <w:tr>
        <w:tc>
          <w:tcPr>
            <w:tcW w:type="dxa" w:w="5184"/>
            <w:tcMar>
              <w:top w:w="60" w:type="dxa"/>
              <w:start w:w="80" w:type="dxa"/>
              <w:bottom w:w="60" w:type="dxa"/>
              <w:end w:w="80" w:type="dxa"/>
            </w:tcMar>
          </w:tcPr>
          <w:p>
            <w:r>
              <w:t>Unit Educator</w:t>
            </w:r>
          </w:p>
        </w:tc>
        <w:tc>
          <w:tcPr>
            <w:tcW w:type="dxa" w:w="5184"/>
            <w:tcMar>
              <w:top w:w="60" w:type="dxa"/>
              <w:start w:w="80" w:type="dxa"/>
              <w:bottom w:w="60" w:type="dxa"/>
              <w:end w:w="80" w:type="dxa"/>
            </w:tcMar>
          </w:tcPr>
          <w:p>
            <w:r>
              <w:t>Coordinate initial training and annual competency; retain unit competency documentation.</w:t>
            </w:r>
          </w:p>
        </w:tc>
      </w:tr>
      <w:tr>
        <w:tc>
          <w:tcPr>
            <w:tcW w:type="dxa" w:w="5184"/>
            <w:tcMar>
              <w:top w:w="60" w:type="dxa"/>
              <w:start w:w="80" w:type="dxa"/>
              <w:bottom w:w="60" w:type="dxa"/>
              <w:end w:w="80" w:type="dxa"/>
            </w:tcMar>
          </w:tcPr>
          <w:p>
            <w:r>
              <w:t>POCT Office</w:t>
            </w:r>
          </w:p>
        </w:tc>
        <w:tc>
          <w:tcPr>
            <w:tcW w:type="dxa" w:w="5184"/>
            <w:tcMar>
              <w:top w:w="60" w:type="dxa"/>
              <w:start w:w="80" w:type="dxa"/>
              <w:bottom w:w="60" w:type="dxa"/>
              <w:end w:w="80" w:type="dxa"/>
            </w:tcMar>
          </w:tcPr>
          <w:p>
            <w:r>
              <w:t>Maintain operator access, review QC, investigate recurring issues, and maintain the official competency record.</w:t>
            </w:r>
          </w:p>
        </w:tc>
      </w:tr>
      <w:tr>
        <w:tc>
          <w:tcPr>
            <w:tcW w:type="dxa" w:w="5184"/>
            <w:tcMar>
              <w:top w:w="60" w:type="dxa"/>
              <w:start w:w="80" w:type="dxa"/>
              <w:bottom w:w="60" w:type="dxa"/>
              <w:end w:w="80" w:type="dxa"/>
            </w:tcMar>
          </w:tcPr>
          <w:p>
            <w:r>
              <w:t>Nurse Manager / Supervisor</w:t>
            </w:r>
          </w:p>
        </w:tc>
        <w:tc>
          <w:tcPr>
            <w:tcW w:type="dxa" w:w="5184"/>
            <w:tcMar>
              <w:top w:w="60" w:type="dxa"/>
              <w:start w:w="80" w:type="dxa"/>
              <w:bottom w:w="60" w:type="dxa"/>
              <w:end w:w="80" w:type="dxa"/>
            </w:tcMar>
          </w:tcPr>
          <w:p>
            <w:r>
              <w:t>Ensure only authorized staff perform testing and expired supplies are removed from use.</w:t>
            </w:r>
          </w:p>
        </w:tc>
      </w:tr>
    </w:tbl>
    <w:p>
      <w:pPr>
        <w:pStyle w:val="Heading1"/>
      </w:pPr>
      <w:r>
        <w:t>4. Test Principle</w:t>
      </w:r>
    </w:p>
    <w:p>
      <w:r>
        <w:t>The NovaSure GX meter measures glucose electrochemically from a whole blood specimen applied to a single-use test strip. The meter displays a numerical glucose result or a device message when the result is outside its analytical display range.</w:t>
      </w:r>
    </w:p>
    <w:p>
      <w:pPr>
        <w:pStyle w:val="Heading1"/>
      </w:pPr>
      <w:r>
        <w:t>5. Specimen Requirements</w:t>
      </w:r>
    </w:p>
    <w:p>
      <w:pPr>
        <w:pStyle w:val="ListBullet"/>
        <w:spacing w:after="20"/>
      </w:pPr>
      <w:r>
        <w:t>Acceptable specimens: fresh capillary, venous, or arterial whole blood.</w:t>
      </w:r>
    </w:p>
    <w:p>
      <w:pPr>
        <w:pStyle w:val="ListBullet"/>
        <w:spacing w:after="20"/>
      </w:pPr>
      <w:r>
        <w:t>Use a well-mixed specimen as soon as practical after collection.</w:t>
      </w:r>
    </w:p>
    <w:p>
      <w:pPr>
        <w:pStyle w:val="ListBullet"/>
        <w:spacing w:after="20"/>
      </w:pPr>
      <w:r>
        <w:t>For capillary testing, select a warm, clean, dry puncture site with adequate perfusion.</w:t>
      </w:r>
    </w:p>
    <w:p>
      <w:pPr>
        <w:pStyle w:val="ListBullet"/>
        <w:spacing w:after="20"/>
      </w:pPr>
      <w:r>
        <w:t>Clean the puncture site with 70% isopropyl alcohol and allow the site to air dry before puncture.</w:t>
      </w:r>
    </w:p>
    <w:p>
      <w:pPr>
        <w:pStyle w:val="ListBullet"/>
        <w:spacing w:after="20"/>
      </w:pPr>
      <w:r>
        <w:t>For routine capillary testing, wipe away the first drop and use the second freely flowing drop when possible.</w:t>
      </w:r>
    </w:p>
    <w:p>
      <w:pPr>
        <w:pStyle w:val="ListBullet"/>
        <w:spacing w:after="20"/>
      </w:pPr>
      <w:r>
        <w:t>Do not excessively squeeze or milk the finger.</w:t>
      </w:r>
    </w:p>
    <w:p>
      <w:pPr>
        <w:pStyle w:val="ListBullet"/>
        <w:spacing w:after="20"/>
      </w:pPr>
      <w:r>
        <w:t>Venous samples collected in lithium heparin may be used for up to 30 minutes after collection if kept at room temperature.</w:t>
      </w:r>
    </w:p>
    <w:p>
      <w:pPr>
        <w:pStyle w:val="ListBullet"/>
        <w:spacing w:after="20"/>
      </w:pPr>
      <w:r>
        <w:t>Arterial samples should be tested immediately after collection.</w:t>
      </w:r>
    </w:p>
    <w:p>
      <w:pPr>
        <w:pStyle w:val="Heading1"/>
      </w:pPr>
      <w:r>
        <w:t>6. Reagents and Storage</w:t>
      </w:r>
    </w:p>
    <w:tbl>
      <w:tblPr>
        <w:tblStyle w:val="TableGrid"/>
        <w:tblW w:type="auto" w:w="0"/>
        <w:jc w:val="center"/>
        <w:tblLook w:firstColumn="1" w:firstRow="1" w:lastColumn="0" w:lastRow="0" w:noHBand="0" w:noVBand="1" w:val="04A0"/>
      </w:tblPr>
      <w:tblGrid>
        <w:gridCol w:w="2592"/>
        <w:gridCol w:w="2592"/>
        <w:gridCol w:w="2592"/>
        <w:gridCol w:w="2592"/>
      </w:tblGrid>
      <w:tr>
        <w:tc>
          <w:tcPr>
            <w:tcW w:type="dxa" w:w="2592"/>
            <w:shd w:fill="17365D"/>
          </w:tcPr>
          <w:p>
            <w:r>
              <w:rPr>
                <w:b/>
                <w:color w:val="FFFFFF"/>
              </w:rPr>
              <w:t>Material</w:t>
            </w:r>
          </w:p>
        </w:tc>
        <w:tc>
          <w:tcPr>
            <w:tcW w:type="dxa" w:w="2592"/>
            <w:shd w:fill="17365D"/>
          </w:tcPr>
          <w:p>
            <w:r>
              <w:rPr>
                <w:b/>
                <w:color w:val="FFFFFF"/>
              </w:rPr>
              <w:t>Storage</w:t>
            </w:r>
          </w:p>
        </w:tc>
        <w:tc>
          <w:tcPr>
            <w:tcW w:type="dxa" w:w="2592"/>
            <w:shd w:fill="17365D"/>
          </w:tcPr>
          <w:p>
            <w:r>
              <w:rPr>
                <w:b/>
                <w:color w:val="FFFFFF"/>
              </w:rPr>
              <w:t>After Opening</w:t>
            </w:r>
          </w:p>
        </w:tc>
        <w:tc>
          <w:tcPr>
            <w:tcW w:type="dxa" w:w="2592"/>
            <w:shd w:fill="17365D"/>
          </w:tcPr>
          <w:p>
            <w:r>
              <w:rPr>
                <w:b/>
                <w:color w:val="FFFFFF"/>
              </w:rPr>
              <w:t>Notes</w:t>
            </w:r>
          </w:p>
        </w:tc>
      </w:tr>
      <w:tr>
        <w:tc>
          <w:tcPr>
            <w:tcW w:type="dxa" w:w="2592"/>
            <w:tcMar>
              <w:top w:w="60" w:type="dxa"/>
              <w:start w:w="80" w:type="dxa"/>
              <w:bottom w:w="60" w:type="dxa"/>
              <w:end w:w="80" w:type="dxa"/>
            </w:tcMar>
          </w:tcPr>
          <w:p>
            <w:r>
              <w:t>Test strips</w:t>
            </w:r>
          </w:p>
        </w:tc>
        <w:tc>
          <w:tcPr>
            <w:tcW w:type="dxa" w:w="2592"/>
            <w:tcMar>
              <w:top w:w="60" w:type="dxa"/>
              <w:start w:w="80" w:type="dxa"/>
              <w:bottom w:w="60" w:type="dxa"/>
              <w:end w:w="80" w:type="dxa"/>
            </w:tcMar>
          </w:tcPr>
          <w:p>
            <w:r>
              <w:t>2–30 °C</w:t>
            </w:r>
          </w:p>
        </w:tc>
        <w:tc>
          <w:tcPr>
            <w:tcW w:type="dxa" w:w="2592"/>
            <w:tcMar>
              <w:top w:w="60" w:type="dxa"/>
              <w:start w:w="80" w:type="dxa"/>
              <w:bottom w:w="60" w:type="dxa"/>
              <w:end w:w="80" w:type="dxa"/>
            </w:tcMar>
          </w:tcPr>
          <w:p>
            <w:r>
              <w:t>Use through manufacturer expiration if recapped immediately</w:t>
            </w:r>
          </w:p>
        </w:tc>
        <w:tc>
          <w:tcPr>
            <w:tcW w:type="dxa" w:w="2592"/>
            <w:tcMar>
              <w:top w:w="60" w:type="dxa"/>
              <w:start w:w="80" w:type="dxa"/>
              <w:bottom w:w="60" w:type="dxa"/>
              <w:end w:w="80" w:type="dxa"/>
            </w:tcMar>
          </w:tcPr>
          <w:p>
            <w:r>
              <w:t>Keep vial tightly closed.</w:t>
            </w:r>
          </w:p>
        </w:tc>
      </w:tr>
      <w:tr>
        <w:tc>
          <w:tcPr>
            <w:tcW w:type="dxa" w:w="2592"/>
            <w:tcMar>
              <w:top w:w="60" w:type="dxa"/>
              <w:start w:w="80" w:type="dxa"/>
              <w:bottom w:w="60" w:type="dxa"/>
              <w:end w:w="80" w:type="dxa"/>
            </w:tcMar>
          </w:tcPr>
          <w:p>
            <w:r>
              <w:t>Level 1 and Level 2 QC</w:t>
            </w:r>
          </w:p>
        </w:tc>
        <w:tc>
          <w:tcPr>
            <w:tcW w:type="dxa" w:w="2592"/>
            <w:tcMar>
              <w:top w:w="60" w:type="dxa"/>
              <w:start w:w="80" w:type="dxa"/>
              <w:bottom w:w="60" w:type="dxa"/>
              <w:end w:w="80" w:type="dxa"/>
            </w:tcMar>
          </w:tcPr>
          <w:p>
            <w:r>
              <w:t>2–8 °C unopened</w:t>
            </w:r>
          </w:p>
        </w:tc>
        <w:tc>
          <w:tcPr>
            <w:tcW w:type="dxa" w:w="2592"/>
            <w:tcMar>
              <w:top w:w="60" w:type="dxa"/>
              <w:start w:w="80" w:type="dxa"/>
              <w:bottom w:w="60" w:type="dxa"/>
              <w:end w:w="80" w:type="dxa"/>
            </w:tcMar>
          </w:tcPr>
          <w:p>
            <w:r>
              <w:t>90 days at room temperature</w:t>
            </w:r>
          </w:p>
        </w:tc>
        <w:tc>
          <w:tcPr>
            <w:tcW w:type="dxa" w:w="2592"/>
            <w:tcMar>
              <w:top w:w="60" w:type="dxa"/>
              <w:start w:w="80" w:type="dxa"/>
              <w:bottom w:w="60" w:type="dxa"/>
              <w:end w:w="80" w:type="dxa"/>
            </w:tcMar>
          </w:tcPr>
          <w:p>
            <w:r>
              <w:t>Write open date on each bottle.</w:t>
            </w:r>
          </w:p>
        </w:tc>
      </w:tr>
      <w:tr>
        <w:tc>
          <w:tcPr>
            <w:tcW w:type="dxa" w:w="2592"/>
            <w:tcMar>
              <w:top w:w="60" w:type="dxa"/>
              <w:start w:w="80" w:type="dxa"/>
              <w:bottom w:w="60" w:type="dxa"/>
              <w:end w:w="80" w:type="dxa"/>
            </w:tcMar>
          </w:tcPr>
          <w:p>
            <w:r>
              <w:t>Cleaning wipes</w:t>
            </w:r>
          </w:p>
        </w:tc>
        <w:tc>
          <w:tcPr>
            <w:tcW w:type="dxa" w:w="2592"/>
            <w:tcMar>
              <w:top w:w="60" w:type="dxa"/>
              <w:start w:w="80" w:type="dxa"/>
              <w:bottom w:w="60" w:type="dxa"/>
              <w:end w:w="80" w:type="dxa"/>
            </w:tcMar>
          </w:tcPr>
          <w:p>
            <w:r>
              <w:t>Room temperature</w:t>
            </w:r>
          </w:p>
        </w:tc>
        <w:tc>
          <w:tcPr>
            <w:tcW w:type="dxa" w:w="2592"/>
            <w:tcMar>
              <w:top w:w="60" w:type="dxa"/>
              <w:start w:w="80" w:type="dxa"/>
              <w:bottom w:w="60" w:type="dxa"/>
              <w:end w:w="80" w:type="dxa"/>
            </w:tcMar>
          </w:tcPr>
          <w:p>
            <w:r>
              <w:t>Per package labeling</w:t>
            </w:r>
          </w:p>
        </w:tc>
        <w:tc>
          <w:tcPr>
            <w:tcW w:type="dxa" w:w="2592"/>
            <w:tcMar>
              <w:top w:w="60" w:type="dxa"/>
              <w:start w:w="80" w:type="dxa"/>
              <w:bottom w:w="60" w:type="dxa"/>
              <w:end w:w="80" w:type="dxa"/>
            </w:tcMar>
          </w:tcPr>
          <w:p>
            <w:r>
              <w:t>Do not use if visibly dry.</w:t>
            </w:r>
          </w:p>
        </w:tc>
      </w:tr>
    </w:tbl>
    <w:p>
      <w:r>
        <w:t>QC material in active use may be stored at 15–25 °C. Discard opened control bottles 60 days after opening or on the manufacturer expiration date, whichever comes first.</w:t>
      </w:r>
    </w:p>
    <w:p>
      <w:pPr>
        <w:pStyle w:val="Heading1"/>
      </w:pPr>
      <w:r>
        <w:t>7. Quality Control</w:t>
      </w:r>
    </w:p>
    <w:p>
      <w:r>
        <w:t>7.1 Two levels of external liquid quality control (Level 1 and Level 2) are required once each calendar day when patient testing is performed on a meter.</w:t>
      </w:r>
    </w:p>
    <w:p>
      <w:r>
        <w:t>7.2 Each meter must have acceptable liquid QC at least every 24 hours while the device remains in patient-testing service.</w:t>
      </w:r>
    </w:p>
    <w:p>
      <w:r>
        <w:t>7.3 Additional QC should be performed after opening a new test strip lot, after meter maintenance that could affect performance, when results are inconsistent with the clinical picture, or when directed by the POCT Office.</w:t>
      </w:r>
    </w:p>
    <w:p>
      <w:r>
        <w:t>7.4 If one control level fails, repeat that control one time using the same bottle after confirming the correct control level was selected.</w:t>
      </w:r>
    </w:p>
    <w:p>
      <w:r>
        <w:t>7.5 If the repeated control passes, document the initial failure in the meter comment field and resume patient testing.</w:t>
      </w:r>
    </w:p>
    <w:p>
      <w:r>
        <w:t>7.6 If a control fails twice, remove the meter from service and notify the POCT Office. If testing is urgently needed, a patient sample may be tested after a second operator confirms strip expiration and repeats QC on another meter.</w:t>
      </w:r>
    </w:p>
    <w:p>
      <w:r>
        <w:t>7.7 QC failures occurring after normal POCT Office hours should be reported the next business day unless patient testing cannot be supported by another available meter.</w:t>
      </w:r>
    </w:p>
    <w:p>
      <w:pPr>
        <w:pStyle w:val="Heading1"/>
      </w:pPr>
      <w:r>
        <w:t>8. Patient Testing Procedure</w:t>
      </w:r>
    </w:p>
    <w:p>
      <w:pPr>
        <w:pStyle w:val="ListNumber"/>
        <w:spacing w:after="20"/>
      </w:pPr>
      <w:r>
        <w:t>Perform hand hygiene and wear gloves.</w:t>
      </w:r>
    </w:p>
    <w:p>
      <w:pPr>
        <w:pStyle w:val="ListNumber"/>
        <w:spacing w:after="20"/>
      </w:pPr>
      <w:r>
        <w:t>Confirm the patient using two identifiers. Scan the wristband when available.</w:t>
      </w:r>
    </w:p>
    <w:p>
      <w:pPr>
        <w:pStyle w:val="ListNumber"/>
        <w:spacing w:after="20"/>
      </w:pPr>
      <w:r>
        <w:t>Select the patient in the meter. If the barcode will not scan, manually enter the medical record number and confirm the displayed patient name.</w:t>
      </w:r>
    </w:p>
    <w:p>
      <w:pPr>
        <w:pStyle w:val="ListNumber"/>
        <w:spacing w:after="20"/>
      </w:pPr>
      <w:r>
        <w:t>Insert a test strip and wait for the apply-sample prompt.</w:t>
      </w:r>
    </w:p>
    <w:p>
      <w:pPr>
        <w:pStyle w:val="ListNumber"/>
        <w:spacing w:after="20"/>
      </w:pPr>
      <w:r>
        <w:t>For capillary samples, cleanse the site and allow alcohol to dry. Puncture the site and obtain a freely flowing drop of blood.</w:t>
      </w:r>
    </w:p>
    <w:p>
      <w:pPr>
        <w:pStyle w:val="ListNumber"/>
        <w:spacing w:after="20"/>
      </w:pPr>
      <w:r>
        <w:t>Apply blood to the strip edge until the meter indicates sufficient sample.</w:t>
      </w:r>
    </w:p>
    <w:p>
      <w:pPr>
        <w:pStyle w:val="ListNumber"/>
        <w:spacing w:after="20"/>
      </w:pPr>
      <w:r>
        <w:t>Review the displayed result and any meter messages before leaving the patient area.</w:t>
      </w:r>
    </w:p>
    <w:p>
      <w:pPr>
        <w:pStyle w:val="ListNumber"/>
        <w:spacing w:after="20"/>
      </w:pPr>
      <w:r>
        <w:t>If the result is not consistent with the patient condition, repeat the test using a new strip and a new specimen when feasible.</w:t>
      </w:r>
    </w:p>
    <w:p>
      <w:pPr>
        <w:pStyle w:val="ListNumber"/>
        <w:spacing w:after="20"/>
      </w:pPr>
      <w:r>
        <w:t>Remove gloves and perform hand hygiene.</w:t>
      </w:r>
    </w:p>
    <w:p>
      <w:pPr>
        <w:pStyle w:val="Heading1"/>
      </w:pPr>
      <w:r>
        <w:t>9. Result Reporting and Critical Results</w:t>
      </w:r>
    </w:p>
    <w:p>
      <w:r>
        <w:t>9.1 The reportable range for the NovaSure GX meter is 20–600 mg/dL. Results within this range are transmitted electronically to the EHR when connectivity is available.</w:t>
      </w:r>
    </w:p>
    <w:p>
      <w:r>
        <w:t>9.2 Results below 40 mg/dL or above 500 mg/dL are considered critical for adult patients and must be repeated immediately before notification unless treatment has already begun.</w:t>
      </w:r>
    </w:p>
    <w:p>
      <w:r>
        <w:t>9.3 Repeated critical results must be communicated to the responsible licensed provider or registered nurse and documented using the meter notification prompt.</w:t>
      </w:r>
    </w:p>
    <w:p>
      <w:r>
        <w:t>9.4 Results displaying LO (&lt;20 mg/dL) or HI (&gt;600 mg/dL) require immediate clinical notification. A venous specimen should be sent to the central laboratory for confirmation when clinically feasible.</w:t>
      </w:r>
    </w:p>
    <w:p>
      <w:r>
        <w:t>9.5 Any result greater than 550 mg/dL should be confirmed by the central laboratory before insulin dosing adjustments are made, unless the ordering provider directs otherwise.</w:t>
      </w:r>
    </w:p>
    <w:p>
      <w:r>
        <w:t>9.6 Pediatric critical limits are the same as adult limits unless a unit-specific policy establishes a different limit.</w:t>
      </w:r>
    </w:p>
    <w:p>
      <w:r>
        <w:t>9.7 NICU glucose values less than 45 mg/dL are considered critical and require immediate repeat testing and provider notification.</w:t>
      </w:r>
    </w:p>
    <w:p>
      <w:pPr>
        <w:pStyle w:val="Heading1"/>
      </w:pPr>
      <w:r>
        <w:t>10. Limitations and Interferences</w:t>
      </w:r>
    </w:p>
    <w:p>
      <w:pPr>
        <w:pStyle w:val="ListBullet"/>
        <w:spacing w:after="20"/>
      </w:pPr>
      <w:r>
        <w:t>Unexpected results should be evaluated in the context of specimen quality, patient perfusion, and clinical condition.</w:t>
      </w:r>
    </w:p>
    <w:p>
      <w:pPr>
        <w:pStyle w:val="ListBullet"/>
        <w:spacing w:after="20"/>
      </w:pPr>
      <w:r>
        <w:t>Capillary testing may be unreliable in patients with poor peripheral perfusion, severe dehydration, or marked edema.</w:t>
      </w:r>
    </w:p>
    <w:p>
      <w:pPr>
        <w:pStyle w:val="ListBullet"/>
        <w:spacing w:after="20"/>
      </w:pPr>
      <w:r>
        <w:t>Do not use capillary specimens for patients receiving vasopressors at doses judged by the treating team to significantly impair peripheral perfusion.</w:t>
      </w:r>
    </w:p>
    <w:p>
      <w:pPr>
        <w:pStyle w:val="ListBullet"/>
        <w:spacing w:after="20"/>
      </w:pPr>
      <w:r>
        <w:t>The meter should not be used when hematocrit is known to be below 20% or above 65%.</w:t>
      </w:r>
    </w:p>
    <w:p>
      <w:pPr>
        <w:pStyle w:val="ListBullet"/>
        <w:spacing w:after="20"/>
      </w:pPr>
      <w:r>
        <w:t>When a result is inconsistent with the clinical picture, obtain a venous or arterial specimen for central laboratory testing.</w:t>
      </w:r>
    </w:p>
    <w:p>
      <w:pPr>
        <w:pStyle w:val="Heading1"/>
      </w:pPr>
      <w:r>
        <w:t>11. Cleaning and Disinfection</w:t>
      </w:r>
    </w:p>
    <w:p>
      <w:r>
        <w:t>11.1 Clean and disinfect the meter after each patient use with an approved hospital disinfectant wipe.</w:t>
      </w:r>
    </w:p>
    <w:p>
      <w:r>
        <w:t>11.2 The meter surface must remain visibly wet for the contact time stated on the wipe label.</w:t>
      </w:r>
    </w:p>
    <w:p>
      <w:r>
        <w:t>11.3 Do not allow liquid to enter the strip port or charging contacts.</w:t>
      </w:r>
    </w:p>
    <w:p>
      <w:r>
        <w:t>11.4 At the end of each shift, inspect the meter for visible soil and repeat cleaning if needed.</w:t>
      </w:r>
    </w:p>
    <w:p>
      <w:pPr>
        <w:pStyle w:val="Heading1"/>
      </w:pPr>
      <w:r>
        <w:t>12. Training and Competency</w:t>
      </w:r>
    </w:p>
    <w:p>
      <w:r>
        <w:t>12.1 New operators must complete assigned online training, observe a demonstration, successfully perform a patient test or simulated test, and pass a written knowledge assessment before independent testing.</w:t>
      </w:r>
    </w:p>
    <w:p>
      <w:r>
        <w:t>12.2 Initial competency must be completed before operator access is activated.</w:t>
      </w:r>
    </w:p>
    <w:p>
      <w:r>
        <w:t>12.3 Competency is reassessed annually for all active operators.</w:t>
      </w:r>
    </w:p>
    <w:p>
      <w:r>
        <w:t>12.4 Competency may include direct observation, review of QC performance, result-reporting review, problem-solving assessment, and a written quiz.</w:t>
      </w:r>
    </w:p>
    <w:p>
      <w:r>
        <w:t>12.5 Unit educators maintain competency records for their assigned staff. The POCT Office maintains the official system record and may deactivate access when annual requirements are overdue.</w:t>
      </w:r>
    </w:p>
    <w:p>
      <w:r>
        <w:t>12.6 Operators who have not performed patient testing for more than 12 months must repeat initial training before access is restored.</w:t>
      </w:r>
    </w:p>
    <w:p>
      <w:pPr>
        <w:pStyle w:val="Heading1"/>
      </w:pPr>
      <w:r>
        <w:t>13. Connectivity and Downtime</w:t>
      </w:r>
    </w:p>
    <w:p>
      <w:r>
        <w:t>13.1 When results do not transmit, keep the meter docked for at least 10 minutes and confirm network connectivity.</w:t>
      </w:r>
    </w:p>
    <w:p>
      <w:r>
        <w:t>13.2 If transmission remains unsuccessful, results may be manually entered into the EHR by authorized staff using the POCT downtime workflow.</w:t>
      </w:r>
    </w:p>
    <w:p>
      <w:r>
        <w:t>13.3 Manually entered results must include device ID and operator initials in the comment field.</w:t>
      </w:r>
    </w:p>
    <w:p>
      <w:r>
        <w:t>13.4 Once connectivity is restored, duplicate results should be reconciled according to the local unit workflow.</w:t>
      </w:r>
    </w:p>
    <w:p>
      <w:pPr>
        <w:pStyle w:val="Heading1"/>
      </w:pPr>
      <w:r>
        <w:t>14. Records and Documentation</w:t>
      </w:r>
    </w:p>
    <w:p>
      <w:pPr>
        <w:pStyle w:val="ListBullet"/>
        <w:spacing w:after="20"/>
      </w:pPr>
      <w:r>
        <w:t>Electronic patient results and QC results are retained in the POCT data management system.</w:t>
      </w:r>
    </w:p>
    <w:p>
      <w:pPr>
        <w:pStyle w:val="ListBullet"/>
        <w:spacing w:after="20"/>
      </w:pPr>
      <w:r>
        <w:t>Corrective action for unresolved QC failures must be documented in the POCT quality event system.</w:t>
      </w:r>
    </w:p>
    <w:p>
      <w:pPr>
        <w:pStyle w:val="ListBullet"/>
        <w:spacing w:after="20"/>
      </w:pPr>
      <w:r>
        <w:t>Units are responsible for retaining paper competency forms for three years.</w:t>
      </w:r>
    </w:p>
    <w:p>
      <w:pPr>
        <w:pStyle w:val="ListBullet"/>
        <w:spacing w:after="20"/>
      </w:pPr>
      <w:r>
        <w:t>The POCT Office retains competency documentation according to the health system records-retention schedule.</w:t>
      </w:r>
    </w:p>
    <w:p>
      <w:pPr>
        <w:pStyle w:val="Heading1"/>
      </w:pPr>
      <w:r>
        <w:t>15. References</w:t>
      </w:r>
    </w:p>
    <w:p>
      <w:pPr>
        <w:pStyle w:val="ListBullet"/>
        <w:spacing w:after="20"/>
      </w:pPr>
      <w:r>
        <w:t>NovaSure GX Blood Glucose Monitoring System Instructions for Use, current revision.</w:t>
      </w:r>
    </w:p>
    <w:p>
      <w:pPr>
        <w:pStyle w:val="ListBullet"/>
        <w:spacing w:after="20"/>
      </w:pPr>
      <w:r>
        <w:t>Northstar Health Network Policy: Critical Test Results, current revision.</w:t>
      </w:r>
    </w:p>
    <w:p>
      <w:pPr>
        <w:pStyle w:val="ListBullet"/>
        <w:spacing w:after="20"/>
      </w:pPr>
      <w:r>
        <w:t>Northstar Health Network Policy: Point-of-Care Testing Governance, current revision.</w:t>
      </w:r>
    </w:p>
    <w:p>
      <w:r>
        <w:br w:type="page"/>
      </w:r>
    </w:p>
    <w:p>
      <w:pPr>
        <w:pStyle w:val="Heading1"/>
      </w:pPr>
      <w:r>
        <w:t>Workshop Exercise Prompt</w:t>
      </w:r>
    </w:p>
    <w:tbl>
      <w:tblPr>
        <w:tblW w:type="auto" w:w="0"/>
        <w:jc w:val="center"/>
        <w:tblLook w:firstColumn="1" w:firstRow="1" w:lastColumn="0" w:lastRow="0" w:noHBand="0" w:noVBand="1" w:val="04A0"/>
      </w:tblPr>
      <w:tblGrid>
        <w:gridCol w:w="10368"/>
      </w:tblGrid>
      <w:tr>
        <w:tc>
          <w:tcPr>
            <w:tcW w:type="dxa" w:w="10368"/>
            <w:shd w:fill="E2F0D9"/>
            <w:tcMar>
              <w:top w:w="80" w:type="dxa"/>
              <w:start w:w="100" w:type="dxa"/>
              <w:bottom w:w="80" w:type="dxa"/>
              <w:end w:w="100" w:type="dxa"/>
            </w:tcMar>
          </w:tcPr>
          <w:p>
            <w:pPr>
              <w:spacing w:after="0"/>
            </w:pPr>
            <w:r>
              <w:t>You are assisting a point-of-care testing professional. Analyze only the content I provide. Do not add requirements or facts from memory unless I explicitly ask you to do so. For each finding, identify the relevant section or quoted phrase so I can trace the conclusion back to the source. Separate: (1) explicit statements in the source, (2) reasonable interpretations, and (3) questions requiring external verification. Return the result in the format I request.</w:t>
            </w:r>
          </w:p>
        </w:tc>
      </w:tr>
    </w:tbl>
    <w:p>
      <w:pPr>
        <w:pStyle w:val="Heading2"/>
      </w:pPr>
      <w:r>
        <w:t>Suggested participant task</w:t>
      </w:r>
    </w:p>
    <w:p>
      <w:r>
        <w:t>Using the procedure above, identify internal contradictions, ambiguous instructions, unclear ownership/responsibility, conflicting thresholds or frequencies, and statements that may require external verification. Return a table with columns for: category, finding, source section/phrase, classification (explicit statement / reasonable interpretation / external verification needed), why it deserves review, and suggested clarification question.</w:t>
      </w:r>
    </w:p>
    <w:p>
      <w:pPr>
        <w:pStyle w:val="Heading2"/>
      </w:pPr>
      <w:r>
        <w:t>Optional follow-on tasks</w:t>
      </w:r>
    </w:p>
    <w:p>
      <w:pPr>
        <w:pStyle w:val="ListBullet"/>
        <w:spacing w:after="20"/>
      </w:pPr>
      <w:r>
        <w:t>Extract every numerical threshold, frequency, time interval, temperature range, and retention period.</w:t>
      </w:r>
    </w:p>
    <w:p>
      <w:pPr>
        <w:pStyle w:val="ListBullet"/>
        <w:spacing w:after="20"/>
      </w:pPr>
      <w:r>
        <w:t>Create an operator quick-reference checklist using only explicit instructions in the procedure.</w:t>
      </w:r>
    </w:p>
    <w:p>
      <w:pPr>
        <w:pStyle w:val="ListBullet"/>
        <w:spacing w:after="20"/>
      </w:pPr>
      <w:r>
        <w:t>Generate five competency questions and cite the supporting procedure section for each answer.</w:t>
      </w:r>
    </w:p>
    <w:p>
      <w:pPr>
        <w:pStyle w:val="ListBullet"/>
        <w:spacing w:after="20"/>
      </w:pPr>
      <w:r>
        <w:t>Identify places where two sections appear to assign the same responsibility to different groups.</w:t>
      </w:r>
    </w:p>
    <w:p>
      <w:pPr>
        <w:pStyle w:val="ListBullet"/>
        <w:spacing w:after="20"/>
      </w:pPr>
      <w:r>
        <w:t>Identify statements that cannot be validated from this procedure alone and list the external source that would be needed.</w:t>
      </w:r>
    </w:p>
    <w:sectPr w:rsidR="00FC693F" w:rsidRPr="0006063C" w:rsidSect="00034616">
      <w:headerReference w:type="default" r:id="rId9"/>
      <w:footerReference w:type="default" r:id="rId10"/>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color w:val="9C0006"/>
        <w:sz w:val="16"/>
      </w:rPr>
      <w:t>TRAINING USE ONLY — NOT AN APPROVED CLINICAL PROCEDURE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66666"/>
        <w:sz w:val="16"/>
      </w:rPr>
      <w:t>Fictional Training Procedure | Block 2 POCT GPT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Aptos" w:hAnsi="Aptos"/>
      <w:b/>
      <w:bCs/>
      <w:color w:val="17365D"/>
      <w:sz w:val="28"/>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Aptos" w:hAnsi="Aptos"/>
      <w:b/>
      <w:bCs/>
      <w:color w:val="2F75B5"/>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40"/>
      <w:contextualSpacing/>
    </w:pPr>
    <w:rPr>
      <w:rFonts w:asciiTheme="majorHAnsi" w:eastAsiaTheme="majorEastAsia" w:hAnsiTheme="majorHAnsi" w:cstheme="majorBidi" w:ascii="Aptos Display" w:hAnsi="Aptos Display"/>
      <w:b/>
      <w:color w:val="17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FA99CD3DF87B34DA71835D03ADFAC51" ma:contentTypeVersion="16" ma:contentTypeDescription="Create a new document." ma:contentTypeScope="" ma:versionID="a1c44243634b9ed2fcd1255729417c97">
  <xsd:schema xmlns:xsd="http://www.w3.org/2001/XMLSchema" xmlns:xs="http://www.w3.org/2001/XMLSchema" xmlns:p="http://schemas.microsoft.com/office/2006/metadata/properties" xmlns:ns2="5209ea11-3884-410a-a436-0e0e9fa818b1" xmlns:ns3="60253ea7-35f4-4dd6-b378-a686d1967733" targetNamespace="http://schemas.microsoft.com/office/2006/metadata/properties" ma:root="true" ma:fieldsID="46afbfedbf4bc9db567c792201da8788" ns2:_="" ns3:_="">
    <xsd:import namespace="5209ea11-3884-410a-a436-0e0e9fa818b1"/>
    <xsd:import namespace="60253ea7-35f4-4dd6-b378-a686d196773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9ea11-3884-410a-a436-0e0e9fa818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50f3c69-1d6a-4099-826a-1ff1ac42e45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253ea7-35f4-4dd6-b378-a686d196773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37f227-d4b0-4ba5-a15d-6fbeaf9c4a08}" ma:internalName="TaxCatchAll" ma:showField="CatchAllData" ma:web="60253ea7-35f4-4dd6-b378-a686d196773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0253ea7-35f4-4dd6-b378-a686d1967733" xsi:nil="true"/>
    <lcf76f155ced4ddcb4097134ff3c332f xmlns="5209ea11-3884-410a-a436-0e0e9fa818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D8DF0898-A5A5-48C7-8F01-9F8CF64E06E3}"/>
</file>

<file path=customXml/itemProps3.xml><?xml version="1.0" encoding="utf-8"?>
<ds:datastoreItem xmlns:ds="http://schemas.openxmlformats.org/officeDocument/2006/customXml" ds:itemID="{F8D58D38-3457-4DC6-B102-F4E5E856D2A3}"/>
</file>

<file path=customXml/itemProps4.xml><?xml version="1.0" encoding="utf-8"?>
<ds:datastoreItem xmlns:ds="http://schemas.openxmlformats.org/officeDocument/2006/customXml" ds:itemID="{1AC3CEC3-AFA7-47DE-AE0E-2B18962B1C17}"/>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0x010100AFA99CD3DF87B34DA71835D03ADFAC51</vt:lpwstr>
  </property>
</Properties>
</file>