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158BB" w14:textId="7D97B653" w:rsidR="00397429" w:rsidRPr="00696052" w:rsidRDefault="00696052" w:rsidP="00696052">
      <w:pPr>
        <w:autoSpaceDE w:val="0"/>
        <w:autoSpaceDN w:val="0"/>
        <w:adjustRightInd w:val="0"/>
        <w:ind w:left="0" w:firstLine="0"/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color w:val="FF0000"/>
          <w:sz w:val="20"/>
          <w:szCs w:val="20"/>
        </w:rPr>
        <w:br/>
      </w:r>
      <w:r>
        <w:rPr>
          <w:rFonts w:ascii="Arial" w:eastAsia="Times New Roman" w:hAnsi="Arial" w:cs="Arial"/>
          <w:color w:val="FF0000"/>
          <w:sz w:val="20"/>
          <w:szCs w:val="20"/>
        </w:rPr>
        <w:br/>
      </w:r>
      <w:r>
        <w:rPr>
          <w:rFonts w:ascii="Arial" w:eastAsia="Times New Roman" w:hAnsi="Arial" w:cs="Arial"/>
          <w:color w:val="FF0000"/>
          <w:sz w:val="20"/>
          <w:szCs w:val="20"/>
        </w:rPr>
        <w:br/>
      </w:r>
      <w:r w:rsidR="00397429" w:rsidRPr="00696052">
        <w:rPr>
          <w:rFonts w:ascii="Arial" w:eastAsia="Times New Roman" w:hAnsi="Arial" w:cs="Arial"/>
          <w:color w:val="FF0000"/>
          <w:sz w:val="20"/>
          <w:szCs w:val="20"/>
        </w:rPr>
        <w:t>[</w:t>
      </w:r>
      <w:r w:rsidR="00397429" w:rsidRPr="00696052">
        <w:rPr>
          <w:rFonts w:ascii="Arial" w:eastAsia="Times New Roman" w:hAnsi="Arial" w:cs="Arial"/>
          <w:b/>
          <w:color w:val="FF0000"/>
          <w:sz w:val="20"/>
          <w:szCs w:val="20"/>
        </w:rPr>
        <w:t>Note to Chapter Leaders</w:t>
      </w:r>
      <w:r w:rsidR="00397429" w:rsidRPr="00696052">
        <w:rPr>
          <w:rFonts w:ascii="Arial" w:eastAsia="Times New Roman" w:hAnsi="Arial" w:cs="Arial"/>
          <w:color w:val="FF0000"/>
          <w:sz w:val="20"/>
          <w:szCs w:val="20"/>
        </w:rPr>
        <w:t xml:space="preserve">: If you choose to use the article above for your newsletter or website, please use </w:t>
      </w:r>
    </w:p>
    <w:p w14:paraId="0E6DB381" w14:textId="363AD707" w:rsidR="00397429" w:rsidRPr="00696052" w:rsidRDefault="00397429" w:rsidP="00696052">
      <w:pPr>
        <w:autoSpaceDE w:val="0"/>
        <w:autoSpaceDN w:val="0"/>
        <w:adjustRightInd w:val="0"/>
        <w:ind w:left="0" w:firstLine="0"/>
        <w:rPr>
          <w:rFonts w:ascii="Arial" w:eastAsia="Times New Roman" w:hAnsi="Arial" w:cs="Arial"/>
          <w:color w:val="FF0000"/>
          <w:sz w:val="20"/>
          <w:szCs w:val="20"/>
        </w:rPr>
      </w:pPr>
      <w:r w:rsidRPr="00696052">
        <w:rPr>
          <w:rFonts w:ascii="Arial" w:eastAsia="Times New Roman" w:hAnsi="Arial" w:cs="Arial"/>
          <w:color w:val="FF0000"/>
          <w:sz w:val="20"/>
          <w:szCs w:val="20"/>
        </w:rPr>
        <w:t>the article in its entirety and do not alter the text in any way other than to change the capitalization, typeface</w:t>
      </w:r>
      <w:r w:rsidR="00696052">
        <w:rPr>
          <w:rFonts w:ascii="Arial" w:eastAsia="Times New Roman" w:hAnsi="Arial" w:cs="Arial"/>
          <w:color w:val="FF0000"/>
          <w:sz w:val="20"/>
          <w:szCs w:val="20"/>
        </w:rPr>
        <w:br/>
      </w:r>
      <w:r w:rsidRPr="00696052">
        <w:rPr>
          <w:rFonts w:ascii="Arial" w:eastAsia="Times New Roman" w:hAnsi="Arial" w:cs="Arial"/>
          <w:color w:val="FF0000"/>
          <w:sz w:val="20"/>
          <w:szCs w:val="20"/>
        </w:rPr>
        <w:t>or point size to meet your publication's style guidelines.]</w:t>
      </w:r>
    </w:p>
    <w:p w14:paraId="59E0632D" w14:textId="77777777" w:rsidR="00397429" w:rsidRPr="00696052" w:rsidRDefault="00397429" w:rsidP="00397429">
      <w:pPr>
        <w:pStyle w:val="Default"/>
        <w:rPr>
          <w:b/>
          <w:bCs/>
          <w:sz w:val="32"/>
          <w:szCs w:val="32"/>
        </w:rPr>
      </w:pPr>
    </w:p>
    <w:p w14:paraId="10498932" w14:textId="77777777" w:rsidR="00397429" w:rsidRPr="00696052" w:rsidRDefault="00397429" w:rsidP="00397429">
      <w:pPr>
        <w:pStyle w:val="Default"/>
        <w:rPr>
          <w:b/>
          <w:bCs/>
          <w:sz w:val="32"/>
          <w:szCs w:val="32"/>
        </w:rPr>
      </w:pPr>
    </w:p>
    <w:p w14:paraId="70210074" w14:textId="6B8373B4" w:rsidR="00397429" w:rsidRPr="00696052" w:rsidRDefault="00397429" w:rsidP="00696052">
      <w:pPr>
        <w:pStyle w:val="Default"/>
        <w:rPr>
          <w:b/>
          <w:bCs/>
          <w:sz w:val="20"/>
          <w:szCs w:val="20"/>
        </w:rPr>
      </w:pPr>
      <w:r w:rsidRPr="00696052">
        <w:rPr>
          <w:b/>
          <w:bCs/>
          <w:sz w:val="32"/>
          <w:szCs w:val="32"/>
        </w:rPr>
        <w:t xml:space="preserve">CTA Leader Newsletter </w:t>
      </w:r>
      <w:r w:rsidR="00696052" w:rsidRPr="00696052">
        <w:rPr>
          <w:b/>
          <w:bCs/>
          <w:sz w:val="32"/>
          <w:szCs w:val="32"/>
        </w:rPr>
        <w:t>May 2025</w:t>
      </w:r>
      <w:r w:rsidRPr="00696052">
        <w:rPr>
          <w:b/>
          <w:bCs/>
          <w:sz w:val="32"/>
          <w:szCs w:val="32"/>
        </w:rPr>
        <w:br/>
      </w:r>
    </w:p>
    <w:p w14:paraId="3D1B524F" w14:textId="77777777" w:rsidR="00397429" w:rsidRPr="00696052" w:rsidRDefault="00397429" w:rsidP="00397429">
      <w:pPr>
        <w:rPr>
          <w:rFonts w:ascii="Arial" w:hAnsi="Arial" w:cs="Arial"/>
          <w:b/>
        </w:rPr>
      </w:pPr>
      <w:r w:rsidRPr="00696052">
        <w:rPr>
          <w:rFonts w:ascii="Arial" w:hAnsi="Arial" w:cs="Arial"/>
          <w:b/>
          <w:sz w:val="24"/>
          <w:szCs w:val="24"/>
        </w:rPr>
        <w:t xml:space="preserve">Family Status Change </w:t>
      </w:r>
      <w:r w:rsidRPr="00696052">
        <w:rPr>
          <w:rFonts w:ascii="Arial" w:hAnsi="Arial" w:cs="Arial"/>
          <w:b/>
        </w:rPr>
        <w:t>Enrollment Opportunity</w:t>
      </w:r>
    </w:p>
    <w:p w14:paraId="5C317764" w14:textId="77777777" w:rsidR="00397429" w:rsidRPr="00696052" w:rsidRDefault="00397429" w:rsidP="0039742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0BE173C" w14:textId="77777777" w:rsidR="00397429" w:rsidRPr="00696052" w:rsidRDefault="00397429" w:rsidP="00397429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 w:rsidRPr="00696052">
        <w:rPr>
          <w:rFonts w:ascii="Arial" w:hAnsi="Arial" w:cs="Arial"/>
          <w:color w:val="000000"/>
        </w:rPr>
        <w:t>CTA members who experience any of the life events below may qualify for the Family Status Change enrollment opportunity. That means they're eligible to apply for CTA-endorsed Disability insurance and up to $400,000 of CTA-endorsed Life insurance</w:t>
      </w:r>
      <w:r w:rsidRPr="00696052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 w:rsidRPr="00696052">
        <w:rPr>
          <w:rFonts w:ascii="Arial" w:hAnsi="Arial" w:cs="Arial"/>
          <w:color w:val="000000"/>
        </w:rPr>
        <w:t xml:space="preserve"> from The Standard, without having to answer health questions,</w:t>
      </w:r>
      <w:r w:rsidRPr="00696052">
        <w:rPr>
          <w:rFonts w:ascii="Arial" w:hAnsi="Arial" w:cs="Arial"/>
          <w:color w:val="000000"/>
          <w:vertAlign w:val="superscript"/>
        </w:rPr>
        <w:t>2</w:t>
      </w:r>
      <w:r w:rsidRPr="00696052">
        <w:rPr>
          <w:rFonts w:ascii="Arial" w:hAnsi="Arial" w:cs="Arial"/>
          <w:color w:val="000000"/>
        </w:rPr>
        <w:t xml:space="preserve"> </w:t>
      </w:r>
      <w:proofErr w:type="gramStart"/>
      <w:r w:rsidRPr="00696052">
        <w:rPr>
          <w:rFonts w:ascii="Arial" w:hAnsi="Arial" w:cs="Arial"/>
          <w:color w:val="000000"/>
        </w:rPr>
        <w:t>as long as</w:t>
      </w:r>
      <w:proofErr w:type="gramEnd"/>
      <w:r w:rsidRPr="00696052">
        <w:rPr>
          <w:rFonts w:ascii="Arial" w:hAnsi="Arial" w:cs="Arial"/>
          <w:color w:val="000000"/>
        </w:rPr>
        <w:t xml:space="preserve"> they apply within 60 days of the qualifying event.</w:t>
      </w:r>
    </w:p>
    <w:p w14:paraId="478E45D1" w14:textId="77777777" w:rsidR="00397429" w:rsidRPr="00696052" w:rsidRDefault="00397429" w:rsidP="00397429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</w:p>
    <w:p w14:paraId="381947DB" w14:textId="77777777" w:rsidR="00397429" w:rsidRPr="00696052" w:rsidRDefault="00397429" w:rsidP="00397429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bCs/>
        </w:rPr>
      </w:pPr>
      <w:r w:rsidRPr="00696052">
        <w:rPr>
          <w:rFonts w:ascii="Arial" w:hAnsi="Arial" w:cs="Arial"/>
          <w:bCs/>
        </w:rPr>
        <w:t xml:space="preserve">Marriage, divorce or legal separation </w:t>
      </w:r>
    </w:p>
    <w:p w14:paraId="3CE669BC" w14:textId="77777777" w:rsidR="00397429" w:rsidRPr="00696052" w:rsidRDefault="00397429" w:rsidP="00397429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bCs/>
        </w:rPr>
      </w:pPr>
      <w:r w:rsidRPr="00696052">
        <w:rPr>
          <w:rFonts w:ascii="Arial" w:hAnsi="Arial" w:cs="Arial"/>
          <w:bCs/>
        </w:rPr>
        <w:t xml:space="preserve">Initiation or dissolution of a domestic partner relationship </w:t>
      </w:r>
    </w:p>
    <w:p w14:paraId="6E732E95" w14:textId="77777777" w:rsidR="00397429" w:rsidRPr="00696052" w:rsidRDefault="00397429" w:rsidP="00397429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bCs/>
        </w:rPr>
      </w:pPr>
      <w:r w:rsidRPr="00696052">
        <w:rPr>
          <w:rFonts w:ascii="Arial" w:hAnsi="Arial" w:cs="Arial"/>
          <w:bCs/>
        </w:rPr>
        <w:t xml:space="preserve">Birth or adoption of a child </w:t>
      </w:r>
    </w:p>
    <w:p w14:paraId="53CEE970" w14:textId="77777777" w:rsidR="00397429" w:rsidRPr="00696052" w:rsidRDefault="00397429" w:rsidP="00397429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bCs/>
        </w:rPr>
      </w:pPr>
      <w:r w:rsidRPr="00696052">
        <w:rPr>
          <w:rFonts w:ascii="Arial" w:hAnsi="Arial" w:cs="Arial"/>
          <w:bCs/>
        </w:rPr>
        <w:t xml:space="preserve">Death of a spouse/domestic partner or child </w:t>
      </w:r>
    </w:p>
    <w:p w14:paraId="43DE4953" w14:textId="77777777" w:rsidR="00397429" w:rsidRPr="00696052" w:rsidRDefault="00397429" w:rsidP="00397429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bCs/>
        </w:rPr>
      </w:pPr>
      <w:r w:rsidRPr="00696052">
        <w:rPr>
          <w:rFonts w:ascii="Arial" w:hAnsi="Arial" w:cs="Arial"/>
          <w:bCs/>
        </w:rPr>
        <w:t xml:space="preserve">Commencement or termination of a spouse/domestic partner’s employment </w:t>
      </w:r>
    </w:p>
    <w:p w14:paraId="41AFD49C" w14:textId="77777777" w:rsidR="00397429" w:rsidRPr="00696052" w:rsidRDefault="00397429" w:rsidP="00397429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bCs/>
        </w:rPr>
      </w:pPr>
      <w:r w:rsidRPr="00696052">
        <w:rPr>
          <w:rFonts w:ascii="Arial" w:hAnsi="Arial" w:cs="Arial"/>
          <w:bCs/>
        </w:rPr>
        <w:t xml:space="preserve">Change in employment from full-time to part-time by member or member’s spouse/domestic partner </w:t>
      </w:r>
    </w:p>
    <w:p w14:paraId="117C4E40" w14:textId="77777777" w:rsidR="00397429" w:rsidRPr="00696052" w:rsidRDefault="00397429" w:rsidP="00397429">
      <w:pPr>
        <w:ind w:left="0" w:firstLine="0"/>
        <w:rPr>
          <w:rFonts w:ascii="Arial" w:hAnsi="Arial" w:cs="Arial"/>
          <w:bCs/>
        </w:rPr>
      </w:pPr>
      <w:r w:rsidRPr="00696052">
        <w:rPr>
          <w:rFonts w:ascii="Arial" w:hAnsi="Arial" w:cs="Arial"/>
          <w:bCs/>
        </w:rPr>
        <w:t xml:space="preserve">Members have 60 days from the event to apply or make a change. They can apply online at </w:t>
      </w:r>
      <w:r w:rsidRPr="00696052">
        <w:rPr>
          <w:rFonts w:ascii="Arial" w:hAnsi="Arial" w:cs="Arial"/>
          <w:b/>
          <w:u w:val="single"/>
        </w:rPr>
        <w:t>standard.com/cta/fsc</w:t>
      </w:r>
      <w:r w:rsidRPr="00696052">
        <w:rPr>
          <w:rFonts w:ascii="Arial" w:hAnsi="Arial" w:cs="Arial"/>
          <w:b/>
        </w:rPr>
        <w:t>.</w:t>
      </w:r>
    </w:p>
    <w:p w14:paraId="68D29E1A" w14:textId="77777777" w:rsidR="00397429" w:rsidRPr="00696052" w:rsidRDefault="00397429" w:rsidP="00397429">
      <w:pPr>
        <w:rPr>
          <w:rFonts w:ascii="Arial" w:hAnsi="Arial" w:cs="Arial"/>
        </w:rPr>
      </w:pPr>
    </w:p>
    <w:p w14:paraId="730835C4" w14:textId="77777777" w:rsidR="00397429" w:rsidRPr="00696052" w:rsidRDefault="00397429" w:rsidP="00397429">
      <w:pPr>
        <w:rPr>
          <w:rFonts w:ascii="Arial" w:hAnsi="Arial" w:cs="Arial"/>
        </w:rPr>
      </w:pPr>
    </w:p>
    <w:p w14:paraId="2DBAB84A" w14:textId="419FF895" w:rsidR="00397429" w:rsidRPr="006966D2" w:rsidRDefault="00397429" w:rsidP="00696052">
      <w:pPr>
        <w:ind w:left="0" w:firstLine="0"/>
        <w:rPr>
          <w:rFonts w:ascii="Arial" w:hAnsi="Arial" w:cs="Arial"/>
          <w:sz w:val="18"/>
          <w:szCs w:val="18"/>
          <w:shd w:val="clear" w:color="auto" w:fill="FFFFFF"/>
        </w:rPr>
      </w:pPr>
      <w:r w:rsidRPr="006966D2">
        <w:rPr>
          <w:rFonts w:ascii="Arial" w:hAnsi="Arial" w:cs="Arial"/>
          <w:sz w:val="18"/>
          <w:szCs w:val="18"/>
        </w:rPr>
        <w:t xml:space="preserve">1 </w:t>
      </w:r>
      <w:r w:rsidRPr="006966D2">
        <w:rPr>
          <w:rFonts w:ascii="Arial" w:hAnsi="Arial" w:cs="Arial"/>
          <w:sz w:val="18"/>
          <w:szCs w:val="18"/>
          <w:shd w:val="clear" w:color="auto" w:fill="FFFFFF"/>
        </w:rPr>
        <w:t>Coverage reduces to 65% of the amount in force at age 70, 45% of the amount in force at age 75 and 30% of the amount in force at</w:t>
      </w:r>
      <w:r w:rsidR="00696052" w:rsidRPr="006966D2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966D2">
        <w:rPr>
          <w:rFonts w:ascii="Arial" w:hAnsi="Arial" w:cs="Arial"/>
          <w:sz w:val="18"/>
          <w:szCs w:val="18"/>
          <w:shd w:val="clear" w:color="auto" w:fill="FFFFFF"/>
        </w:rPr>
        <w:t>age 80. Offer not available to retirees.</w:t>
      </w:r>
    </w:p>
    <w:p w14:paraId="71DA2F1D" w14:textId="77777777" w:rsidR="00C0231C" w:rsidRPr="006966D2" w:rsidRDefault="00C0231C" w:rsidP="00696052">
      <w:pPr>
        <w:ind w:left="0" w:firstLine="0"/>
        <w:rPr>
          <w:rFonts w:ascii="Arial" w:hAnsi="Arial" w:cs="Arial"/>
          <w:sz w:val="18"/>
          <w:szCs w:val="18"/>
        </w:rPr>
      </w:pPr>
    </w:p>
    <w:p w14:paraId="05610742" w14:textId="4AE943C8" w:rsidR="00397429" w:rsidRPr="006966D2" w:rsidRDefault="00397429" w:rsidP="00696052">
      <w:pPr>
        <w:ind w:left="0" w:firstLine="0"/>
        <w:rPr>
          <w:rFonts w:ascii="Arial" w:hAnsi="Arial" w:cs="Arial"/>
          <w:sz w:val="18"/>
          <w:szCs w:val="18"/>
        </w:rPr>
      </w:pPr>
      <w:r w:rsidRPr="006966D2">
        <w:rPr>
          <w:rFonts w:ascii="Arial" w:hAnsi="Arial" w:cs="Arial"/>
          <w:sz w:val="18"/>
          <w:szCs w:val="18"/>
        </w:rPr>
        <w:t>2 If any previous application submitted with proof of good health was denied by The Standard, then proof of good health will be</w:t>
      </w:r>
      <w:r w:rsidR="00696052" w:rsidRPr="006966D2">
        <w:rPr>
          <w:rFonts w:ascii="Arial" w:hAnsi="Arial" w:cs="Arial"/>
          <w:sz w:val="18"/>
          <w:szCs w:val="18"/>
        </w:rPr>
        <w:t xml:space="preserve"> </w:t>
      </w:r>
      <w:r w:rsidRPr="006966D2">
        <w:rPr>
          <w:rFonts w:ascii="Arial" w:hAnsi="Arial" w:cs="Arial"/>
          <w:sz w:val="18"/>
          <w:szCs w:val="18"/>
        </w:rPr>
        <w:t>required.</w:t>
      </w:r>
    </w:p>
    <w:p w14:paraId="7660357B" w14:textId="77777777" w:rsidR="00397429" w:rsidRPr="006966D2" w:rsidRDefault="00397429" w:rsidP="00397429">
      <w:pPr>
        <w:rPr>
          <w:rFonts w:ascii="Arial" w:hAnsi="Arial" w:cs="Arial"/>
          <w:sz w:val="18"/>
          <w:szCs w:val="18"/>
        </w:rPr>
      </w:pPr>
    </w:p>
    <w:p w14:paraId="63F0ACF6" w14:textId="6250BF42" w:rsidR="00397429" w:rsidRPr="006966D2" w:rsidRDefault="00397429" w:rsidP="00397429">
      <w:pPr>
        <w:ind w:left="0" w:firstLine="0"/>
        <w:rPr>
          <w:rFonts w:ascii="Arial" w:hAnsi="Arial" w:cs="Arial"/>
          <w:color w:val="000000"/>
          <w:sz w:val="18"/>
          <w:szCs w:val="18"/>
        </w:rPr>
      </w:pPr>
      <w:r w:rsidRPr="006966D2">
        <w:rPr>
          <w:rFonts w:ascii="Arial" w:hAnsi="Arial" w:cs="Arial"/>
          <w:color w:val="000000"/>
          <w:sz w:val="18"/>
          <w:szCs w:val="18"/>
        </w:rPr>
        <w:t>For costs and further details of the coverage, including exclusions, benefit waiting periods, any reductions or limitations and the terms under which the polic</w:t>
      </w:r>
      <w:r w:rsidR="00696052" w:rsidRPr="006966D2">
        <w:rPr>
          <w:rFonts w:ascii="Arial" w:hAnsi="Arial" w:cs="Arial"/>
          <w:color w:val="000000"/>
          <w:sz w:val="18"/>
          <w:szCs w:val="18"/>
        </w:rPr>
        <w:t>ies</w:t>
      </w:r>
      <w:r w:rsidRPr="006966D2">
        <w:rPr>
          <w:rFonts w:ascii="Arial" w:hAnsi="Arial" w:cs="Arial"/>
          <w:color w:val="000000"/>
          <w:sz w:val="18"/>
          <w:szCs w:val="18"/>
        </w:rPr>
        <w:t xml:space="preserve"> may be continued in force, please contact Standard Insurance Company </w:t>
      </w:r>
      <w:proofErr w:type="gramStart"/>
      <w:r w:rsidRPr="006966D2">
        <w:rPr>
          <w:rFonts w:ascii="Arial" w:hAnsi="Arial" w:cs="Arial"/>
          <w:color w:val="000000"/>
          <w:sz w:val="18"/>
          <w:szCs w:val="18"/>
        </w:rPr>
        <w:t>at</w:t>
      </w:r>
      <w:proofErr w:type="gramEnd"/>
      <w:r w:rsidRPr="006966D2">
        <w:rPr>
          <w:rFonts w:ascii="Arial" w:hAnsi="Arial" w:cs="Arial"/>
          <w:color w:val="000000"/>
          <w:sz w:val="18"/>
          <w:szCs w:val="18"/>
        </w:rPr>
        <w:t xml:space="preserve"> 800.522.0406. Standard Insurance Company, 1100 SW Sixth Avenue, Portland, OR 97204.   </w:t>
      </w:r>
      <w:r w:rsidR="00D42C56">
        <w:rPr>
          <w:rFonts w:ascii="Arial" w:hAnsi="Arial" w:cs="Arial"/>
          <w:color w:val="000000"/>
          <w:sz w:val="18"/>
          <w:szCs w:val="18"/>
        </w:rPr>
        <w:br/>
      </w:r>
      <w:r w:rsidRPr="006966D2">
        <w:rPr>
          <w:rFonts w:ascii="Arial" w:hAnsi="Arial" w:cs="Arial"/>
          <w:color w:val="000000"/>
          <w:sz w:val="18"/>
          <w:szCs w:val="18"/>
        </w:rPr>
        <w:t xml:space="preserve">GP190-LIFE/S399/CTA.3   </w:t>
      </w:r>
      <w:r w:rsidR="00D42C56">
        <w:rPr>
          <w:rFonts w:ascii="Arial" w:hAnsi="Arial" w:cs="Arial"/>
          <w:color w:val="000000"/>
          <w:sz w:val="18"/>
          <w:szCs w:val="18"/>
        </w:rPr>
        <w:tab/>
      </w:r>
      <w:r w:rsidRPr="006966D2">
        <w:rPr>
          <w:rFonts w:ascii="Arial" w:hAnsi="Arial" w:cs="Arial"/>
          <w:color w:val="000000"/>
          <w:sz w:val="18"/>
          <w:szCs w:val="18"/>
        </w:rPr>
        <w:t xml:space="preserve"> GP190-LTD/S399/CTA.1</w:t>
      </w:r>
      <w:r w:rsidR="00D42C56">
        <w:rPr>
          <w:rFonts w:ascii="Arial" w:hAnsi="Arial" w:cs="Arial"/>
          <w:color w:val="000000"/>
          <w:sz w:val="18"/>
          <w:szCs w:val="18"/>
        </w:rPr>
        <w:tab/>
      </w:r>
      <w:r w:rsidR="00D42C56">
        <w:rPr>
          <w:rFonts w:ascii="Arial" w:hAnsi="Arial" w:cs="Arial"/>
          <w:color w:val="000000"/>
          <w:sz w:val="18"/>
          <w:szCs w:val="18"/>
        </w:rPr>
        <w:tab/>
      </w:r>
      <w:r w:rsidR="00696052" w:rsidRPr="006966D2">
        <w:rPr>
          <w:rFonts w:ascii="Arial" w:hAnsi="Arial" w:cs="Arial"/>
          <w:color w:val="000000"/>
          <w:sz w:val="18"/>
          <w:szCs w:val="18"/>
        </w:rPr>
        <w:t>S</w:t>
      </w:r>
      <w:r w:rsidR="00696052" w:rsidRPr="006966D2">
        <w:rPr>
          <w:sz w:val="18"/>
          <w:szCs w:val="18"/>
        </w:rPr>
        <w:t xml:space="preserve">I </w:t>
      </w:r>
      <w:r w:rsidR="00696052" w:rsidRPr="006966D2">
        <w:rPr>
          <w:rFonts w:asciiTheme="minorHAnsi" w:hAnsiTheme="minorHAnsi"/>
          <w:b/>
          <w:bCs/>
          <w:sz w:val="18"/>
          <w:szCs w:val="18"/>
        </w:rPr>
        <w:t>23333-CTAvol</w:t>
      </w:r>
      <w:r w:rsidR="00696052" w:rsidRPr="006966D2">
        <w:rPr>
          <w:rFonts w:asciiTheme="minorHAnsi" w:hAnsiTheme="minorHAnsi"/>
          <w:sz w:val="18"/>
          <w:szCs w:val="18"/>
        </w:rPr>
        <w:t xml:space="preserve"> (5/25)</w:t>
      </w:r>
    </w:p>
    <w:p w14:paraId="23284E2F" w14:textId="77777777" w:rsidR="00397429" w:rsidRPr="00696052" w:rsidRDefault="00397429" w:rsidP="00397429">
      <w:pPr>
        <w:rPr>
          <w:rFonts w:ascii="Arial" w:hAnsi="Arial" w:cs="Arial"/>
          <w:sz w:val="18"/>
          <w:szCs w:val="18"/>
        </w:rPr>
      </w:pPr>
    </w:p>
    <w:p w14:paraId="5C4C1B5E" w14:textId="77777777" w:rsidR="00397429" w:rsidRPr="00696052" w:rsidRDefault="00397429" w:rsidP="00397429">
      <w:pPr>
        <w:rPr>
          <w:rFonts w:ascii="Arial" w:hAnsi="Arial" w:cs="Arial"/>
          <w:sz w:val="18"/>
          <w:szCs w:val="18"/>
        </w:rPr>
      </w:pPr>
    </w:p>
    <w:p w14:paraId="6EC2CB20" w14:textId="77777777" w:rsidR="00397429" w:rsidRPr="00696052" w:rsidRDefault="00397429" w:rsidP="00397429">
      <w:pPr>
        <w:autoSpaceDE w:val="0"/>
        <w:autoSpaceDN w:val="0"/>
        <w:adjustRightInd w:val="0"/>
        <w:rPr>
          <w:rFonts w:ascii="Arial" w:eastAsia="Times New Roman" w:hAnsi="Arial" w:cs="Arial"/>
          <w:color w:val="FF0000"/>
          <w:sz w:val="20"/>
          <w:szCs w:val="20"/>
        </w:rPr>
      </w:pPr>
    </w:p>
    <w:p w14:paraId="41F76CA2" w14:textId="77777777" w:rsidR="00397429" w:rsidRPr="00696052" w:rsidRDefault="00397429" w:rsidP="00397429">
      <w:pPr>
        <w:rPr>
          <w:rFonts w:ascii="Arial" w:hAnsi="Arial" w:cs="Arial"/>
          <w:sz w:val="20"/>
          <w:szCs w:val="20"/>
        </w:rPr>
      </w:pPr>
    </w:p>
    <w:p w14:paraId="4C0F4CCE" w14:textId="77777777" w:rsidR="00397429" w:rsidRPr="00696052" w:rsidRDefault="00397429" w:rsidP="00397429">
      <w:pPr>
        <w:autoSpaceDE w:val="0"/>
        <w:autoSpaceDN w:val="0"/>
        <w:ind w:left="0" w:firstLine="0"/>
        <w:rPr>
          <w:rFonts w:ascii="Arial" w:hAnsi="Arial" w:cs="Arial"/>
          <w:b/>
          <w:bCs/>
          <w:sz w:val="32"/>
          <w:szCs w:val="32"/>
        </w:rPr>
      </w:pPr>
    </w:p>
    <w:p w14:paraId="02025F65" w14:textId="77777777" w:rsidR="00397429" w:rsidRPr="00696052" w:rsidRDefault="00397429" w:rsidP="00397429">
      <w:pPr>
        <w:autoSpaceDE w:val="0"/>
        <w:autoSpaceDN w:val="0"/>
        <w:adjustRightInd w:val="0"/>
        <w:rPr>
          <w:rFonts w:ascii="Arial" w:eastAsia="Times New Roman" w:hAnsi="Arial" w:cs="Arial"/>
          <w:color w:val="FF0000"/>
          <w:sz w:val="20"/>
          <w:szCs w:val="20"/>
        </w:rPr>
      </w:pPr>
    </w:p>
    <w:p w14:paraId="30125007" w14:textId="77777777" w:rsidR="00397429" w:rsidRPr="00696052" w:rsidRDefault="00397429" w:rsidP="00397429">
      <w:pPr>
        <w:rPr>
          <w:rFonts w:ascii="Arial" w:hAnsi="Arial" w:cs="Arial"/>
          <w:sz w:val="20"/>
          <w:szCs w:val="20"/>
        </w:rPr>
      </w:pPr>
    </w:p>
    <w:p w14:paraId="0898EE25" w14:textId="77777777" w:rsidR="00811F5A" w:rsidRPr="00696052" w:rsidRDefault="00811F5A">
      <w:pPr>
        <w:rPr>
          <w:rFonts w:ascii="Arial" w:hAnsi="Arial" w:cs="Arial"/>
        </w:rPr>
      </w:pPr>
    </w:p>
    <w:sectPr w:rsidR="00811F5A" w:rsidRPr="00696052" w:rsidSect="00397429">
      <w:pgSz w:w="12240" w:h="15840"/>
      <w:pgMar w:top="270" w:right="108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837477"/>
    <w:multiLevelType w:val="hybridMultilevel"/>
    <w:tmpl w:val="74428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257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29"/>
    <w:rsid w:val="00025D28"/>
    <w:rsid w:val="00397429"/>
    <w:rsid w:val="00696052"/>
    <w:rsid w:val="006966D2"/>
    <w:rsid w:val="00771EBF"/>
    <w:rsid w:val="00811F5A"/>
    <w:rsid w:val="008A4517"/>
    <w:rsid w:val="009F3E48"/>
    <w:rsid w:val="00C0231C"/>
    <w:rsid w:val="00D42C56"/>
    <w:rsid w:val="00E6600C"/>
    <w:rsid w:val="00FC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74BB9"/>
  <w15:chartTrackingRefBased/>
  <w15:docId w15:val="{D1978365-1550-4F03-A4AF-F5C13891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429"/>
    <w:pPr>
      <w:spacing w:after="0" w:line="240" w:lineRule="auto"/>
      <w:ind w:left="360" w:hanging="360"/>
    </w:pPr>
    <w:rPr>
      <w:rFonts w:eastAsia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4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42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42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42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42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42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42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42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4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4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42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42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42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42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42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42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42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74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7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429"/>
    <w:pPr>
      <w:numPr>
        <w:ilvl w:val="1"/>
      </w:numPr>
      <w:ind w:left="360" w:hanging="3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742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7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74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74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74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4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4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742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97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E12D641FF2445A10E1CEF35C61271" ma:contentTypeVersion="22" ma:contentTypeDescription="Create a new document." ma:contentTypeScope="" ma:versionID="1b061bf6cb4120127a5bfd1731826b32">
  <xsd:schema xmlns:xsd="http://www.w3.org/2001/XMLSchema" xmlns:xs="http://www.w3.org/2001/XMLSchema" xmlns:p="http://schemas.microsoft.com/office/2006/metadata/properties" xmlns:ns1="http://schemas.microsoft.com/sharepoint/v3" xmlns:ns2="c4478d43-1526-4c79-8938-96a3ec8d5d67" xmlns:ns3="29bc0c01-2a3b-4779-be35-4aabc63db465" targetNamespace="http://schemas.microsoft.com/office/2006/metadata/properties" ma:root="true" ma:fieldsID="b3ae251b13c84f03ffa198b208d692f7" ns1:_="" ns2:_="" ns3:_="">
    <xsd:import namespace="http://schemas.microsoft.com/sharepoint/v3"/>
    <xsd:import namespace="c4478d43-1526-4c79-8938-96a3ec8d5d67"/>
    <xsd:import namespace="29bc0c01-2a3b-4779-be35-4aabc63db465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78d43-1526-4c79-8938-96a3ec8d5d6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cf9bba2e-55e2-4ded-9a4c-4ef1a3ead4b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93d3ca60-cee4-404e-bd9e-6d7c3a5c0e10}" ma:internalName="TaxCatchAll" ma:showField="CatchAllData" ma:web="c4478d43-1526-4c79-8938-96a3ec8d5d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c0c01-2a3b-4779-be35-4aabc63db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f9bba2e-55e2-4ded-9a4c-4ef1a3ead4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29bc0c01-2a3b-4779-be35-4aabc63db465">
      <Terms xmlns="http://schemas.microsoft.com/office/infopath/2007/PartnerControls"/>
    </lcf76f155ced4ddcb4097134ff3c332f>
    <TaxKeywordTaxHTField xmlns="c4478d43-1526-4c79-8938-96a3ec8d5d67">
      <Terms xmlns="http://schemas.microsoft.com/office/infopath/2007/PartnerControls"/>
    </TaxKeywordTaxHTField>
    <_ip_UnifiedCompliancePolicyProperties xmlns="http://schemas.microsoft.com/sharepoint/v3" xsi:nil="true"/>
    <TaxCatchAll xmlns="c4478d43-1526-4c79-8938-96a3ec8d5d67" xsi:nil="true"/>
  </documentManagement>
</p:properties>
</file>

<file path=customXml/itemProps1.xml><?xml version="1.0" encoding="utf-8"?>
<ds:datastoreItem xmlns:ds="http://schemas.openxmlformats.org/officeDocument/2006/customXml" ds:itemID="{BC766B8E-98AF-4477-97E4-C1EBE8078C98}"/>
</file>

<file path=customXml/itemProps2.xml><?xml version="1.0" encoding="utf-8"?>
<ds:datastoreItem xmlns:ds="http://schemas.openxmlformats.org/officeDocument/2006/customXml" ds:itemID="{36F4A0B3-363A-4F45-8C1C-A745419A8F7D}"/>
</file>

<file path=customXml/itemProps3.xml><?xml version="1.0" encoding="utf-8"?>
<ds:datastoreItem xmlns:ds="http://schemas.openxmlformats.org/officeDocument/2006/customXml" ds:itemID="{10E07D38-30A3-44A7-9251-9EFE1F153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284</Words>
  <Characters>1623</Characters>
  <Application>Microsoft Office Word</Application>
  <DocSecurity>4</DocSecurity>
  <Lines>13</Lines>
  <Paragraphs>3</Paragraphs>
  <ScaleCrop>false</ScaleCrop>
  <Company>Standard Insurance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Zeiden</dc:creator>
  <cp:keywords/>
  <dc:description/>
  <cp:lastModifiedBy>Chan, Tiffany</cp:lastModifiedBy>
  <cp:revision>2</cp:revision>
  <dcterms:created xsi:type="dcterms:W3CDTF">2025-05-13T21:53:00Z</dcterms:created>
  <dcterms:modified xsi:type="dcterms:W3CDTF">2025-05-13T21:53:00Z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0x01010057FE12D641FF2445A10E1CEF35C61271</vt:lpwstr>
  </property>
  <property fmtid="{D5CDD505-2E9C-101B-9397-08002B2CF9AE}" pid="3" name="TaxKeyword">
    <vt:lpwstr/>
  </property>
</Properties>
</file>