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90C9" w14:textId="77777777" w:rsidR="00BE6239" w:rsidRDefault="00BE6239" w:rsidP="00CB32A7">
      <w:pPr>
        <w:autoSpaceDE w:val="0"/>
        <w:autoSpaceDN w:val="0"/>
        <w:ind w:left="0" w:firstLine="0"/>
        <w:rPr>
          <w:rFonts w:asciiTheme="minorHAnsi" w:hAnsiTheme="minorHAnsi" w:cs="Arial"/>
          <w:b/>
          <w:bCs/>
          <w:sz w:val="20"/>
          <w:szCs w:val="20"/>
        </w:rPr>
      </w:pPr>
    </w:p>
    <w:p w14:paraId="4FA6D9D9" w14:textId="77777777" w:rsidR="00857385" w:rsidRDefault="00857385" w:rsidP="00CB32A7">
      <w:pPr>
        <w:autoSpaceDE w:val="0"/>
        <w:autoSpaceDN w:val="0"/>
        <w:ind w:left="0" w:firstLine="0"/>
        <w:rPr>
          <w:rFonts w:asciiTheme="minorHAnsi" w:hAnsiTheme="minorHAnsi" w:cs="Arial"/>
          <w:b/>
          <w:bCs/>
          <w:sz w:val="32"/>
          <w:szCs w:val="32"/>
        </w:rPr>
      </w:pPr>
    </w:p>
    <w:p w14:paraId="6F2D83B8" w14:textId="77777777" w:rsidR="00857385" w:rsidRDefault="00857385" w:rsidP="00857385">
      <w:pPr>
        <w:autoSpaceDE w:val="0"/>
        <w:autoSpaceDN w:val="0"/>
        <w:adjustRightInd w:val="0"/>
        <w:rPr>
          <w:rFonts w:asciiTheme="minorHAnsi" w:eastAsia="Times New Roman" w:hAnsiTheme="minorHAnsi" w:cs="HelveticaNeue-Roman"/>
          <w:color w:val="FF0000"/>
          <w:sz w:val="20"/>
          <w:szCs w:val="20"/>
        </w:rPr>
      </w:pPr>
    </w:p>
    <w:p w14:paraId="402313B8" w14:textId="47D6B3B1" w:rsidR="00857385" w:rsidRDefault="00857385" w:rsidP="00857385">
      <w:pPr>
        <w:autoSpaceDE w:val="0"/>
        <w:autoSpaceDN w:val="0"/>
        <w:adjustRightInd w:val="0"/>
        <w:rPr>
          <w:rFonts w:asciiTheme="minorHAnsi" w:eastAsia="Times New Roman" w:hAnsiTheme="minorHAnsi" w:cs="HelveticaNeue-Roman"/>
          <w:color w:val="FF0000"/>
          <w:sz w:val="20"/>
          <w:szCs w:val="20"/>
        </w:rPr>
      </w:pPr>
      <w:r w:rsidRPr="008325E9">
        <w:rPr>
          <w:rFonts w:asciiTheme="minorHAnsi" w:eastAsia="Times New Roman" w:hAnsiTheme="minorHAnsi" w:cs="HelveticaNeue-Roman"/>
          <w:color w:val="FF0000"/>
          <w:sz w:val="20"/>
          <w:szCs w:val="20"/>
        </w:rPr>
        <w:t>[</w:t>
      </w:r>
      <w:r w:rsidRPr="008325E9">
        <w:rPr>
          <w:rFonts w:asciiTheme="minorHAnsi" w:eastAsia="Times New Roman" w:hAnsiTheme="minorHAnsi" w:cs="HelveticaNeue-Roman"/>
          <w:b/>
          <w:color w:val="FF0000"/>
          <w:sz w:val="20"/>
          <w:szCs w:val="20"/>
        </w:rPr>
        <w:t xml:space="preserve">Note to </w:t>
      </w:r>
      <w:r w:rsidR="00C050C0">
        <w:rPr>
          <w:rFonts w:asciiTheme="minorHAnsi" w:eastAsia="Times New Roman" w:hAnsiTheme="minorHAnsi" w:cs="HelveticaNeue-Roman"/>
          <w:b/>
          <w:color w:val="FF0000"/>
          <w:sz w:val="20"/>
          <w:szCs w:val="20"/>
        </w:rPr>
        <w:t>Chapter Leaders</w:t>
      </w:r>
      <w:r w:rsidRPr="008325E9">
        <w:rPr>
          <w:rFonts w:asciiTheme="minorHAnsi" w:eastAsia="Times New Roman" w:hAnsiTheme="minorHAnsi" w:cs="HelveticaNeue-Roman"/>
          <w:color w:val="FF0000"/>
          <w:sz w:val="20"/>
          <w:szCs w:val="20"/>
        </w:rPr>
        <w:t xml:space="preserve">: If you choose to use the article above for your newsletter or website, please use </w:t>
      </w:r>
    </w:p>
    <w:p w14:paraId="1CB846A6" w14:textId="77777777" w:rsidR="00857385" w:rsidRDefault="00857385" w:rsidP="00857385">
      <w:pPr>
        <w:autoSpaceDE w:val="0"/>
        <w:autoSpaceDN w:val="0"/>
        <w:adjustRightInd w:val="0"/>
        <w:rPr>
          <w:rFonts w:asciiTheme="minorHAnsi" w:eastAsia="Times New Roman" w:hAnsiTheme="minorHAnsi" w:cs="HelveticaNeue-Roman"/>
          <w:color w:val="FF0000"/>
          <w:sz w:val="20"/>
          <w:szCs w:val="20"/>
        </w:rPr>
      </w:pPr>
      <w:r w:rsidRPr="008325E9">
        <w:rPr>
          <w:rFonts w:asciiTheme="minorHAnsi" w:eastAsia="Times New Roman" w:hAnsiTheme="minorHAnsi" w:cs="HelveticaNeue-Roman"/>
          <w:color w:val="FF0000"/>
          <w:sz w:val="20"/>
          <w:szCs w:val="20"/>
        </w:rPr>
        <w:t xml:space="preserve">the article in its entirety and do not alter the text in any way other than to change the capitalization, typeface or point </w:t>
      </w:r>
    </w:p>
    <w:p w14:paraId="647B08BF" w14:textId="77777777" w:rsidR="00857385" w:rsidRPr="008325E9" w:rsidRDefault="00857385" w:rsidP="00857385">
      <w:pPr>
        <w:autoSpaceDE w:val="0"/>
        <w:autoSpaceDN w:val="0"/>
        <w:adjustRightInd w:val="0"/>
        <w:rPr>
          <w:rFonts w:asciiTheme="minorHAnsi" w:eastAsia="Times New Roman" w:hAnsiTheme="minorHAnsi" w:cs="HelveticaNeue-Roman"/>
          <w:color w:val="FF0000"/>
          <w:sz w:val="20"/>
          <w:szCs w:val="20"/>
        </w:rPr>
      </w:pPr>
      <w:r w:rsidRPr="008325E9">
        <w:rPr>
          <w:rFonts w:asciiTheme="minorHAnsi" w:eastAsia="Times New Roman" w:hAnsiTheme="minorHAnsi" w:cs="HelveticaNeue-Roman"/>
          <w:color w:val="FF0000"/>
          <w:sz w:val="20"/>
          <w:szCs w:val="20"/>
        </w:rPr>
        <w:t>size to meet your publication's style guidelines.]</w:t>
      </w:r>
    </w:p>
    <w:p w14:paraId="0D3DCD68" w14:textId="77777777" w:rsidR="001E7826" w:rsidRDefault="001E7826" w:rsidP="00D53C0F">
      <w:pPr>
        <w:pStyle w:val="Default"/>
        <w:rPr>
          <w:rFonts w:asciiTheme="minorHAnsi" w:hAnsiTheme="minorHAnsi"/>
          <w:b/>
          <w:bCs/>
          <w:sz w:val="32"/>
          <w:szCs w:val="32"/>
        </w:rPr>
      </w:pPr>
    </w:p>
    <w:p w14:paraId="6EB53A08" w14:textId="113B9FE9" w:rsidR="00D53C0F" w:rsidRDefault="00D53C0F" w:rsidP="00D53C0F">
      <w:pPr>
        <w:pStyle w:val="Default"/>
        <w:rPr>
          <w:rFonts w:asciiTheme="minorHAnsi" w:hAnsiTheme="minorHAnsi"/>
          <w:b/>
          <w:bCs/>
          <w:sz w:val="20"/>
          <w:szCs w:val="20"/>
        </w:rPr>
      </w:pPr>
      <w:r w:rsidRPr="005A7E26">
        <w:rPr>
          <w:rFonts w:asciiTheme="minorHAnsi" w:hAnsiTheme="minorHAnsi"/>
          <w:b/>
          <w:bCs/>
          <w:sz w:val="32"/>
          <w:szCs w:val="32"/>
        </w:rPr>
        <w:t xml:space="preserve">CTA </w:t>
      </w:r>
      <w:r w:rsidR="00EF0DBE">
        <w:rPr>
          <w:rFonts w:asciiTheme="minorHAnsi" w:hAnsiTheme="minorHAnsi"/>
          <w:b/>
          <w:bCs/>
          <w:sz w:val="32"/>
          <w:szCs w:val="32"/>
        </w:rPr>
        <w:t>Leader Newsletter</w:t>
      </w:r>
      <w:r w:rsidRPr="005A7E26">
        <w:rPr>
          <w:rFonts w:asciiTheme="minorHAnsi" w:hAnsiTheme="minorHAnsi"/>
          <w:b/>
          <w:bCs/>
          <w:sz w:val="32"/>
          <w:szCs w:val="32"/>
        </w:rPr>
        <w:t xml:space="preserve"> </w:t>
      </w:r>
      <w:r w:rsidR="00C5054A">
        <w:rPr>
          <w:rFonts w:asciiTheme="minorHAnsi" w:hAnsiTheme="minorHAnsi"/>
          <w:b/>
          <w:bCs/>
          <w:sz w:val="32"/>
          <w:szCs w:val="32"/>
        </w:rPr>
        <w:t>December</w:t>
      </w:r>
      <w:r w:rsidRPr="005A7E26">
        <w:rPr>
          <w:rFonts w:asciiTheme="minorHAnsi" w:hAnsiTheme="minorHAnsi"/>
          <w:b/>
          <w:bCs/>
          <w:sz w:val="32"/>
          <w:szCs w:val="32"/>
        </w:rPr>
        <w:t xml:space="preserve"> 20</w:t>
      </w:r>
      <w:r w:rsidR="0019001B">
        <w:rPr>
          <w:rFonts w:asciiTheme="minorHAnsi" w:hAnsiTheme="minorHAnsi"/>
          <w:b/>
          <w:bCs/>
          <w:sz w:val="32"/>
          <w:szCs w:val="32"/>
        </w:rPr>
        <w:t>2</w:t>
      </w:r>
      <w:r w:rsidR="00344AF6">
        <w:rPr>
          <w:rFonts w:asciiTheme="minorHAnsi" w:hAnsiTheme="minorHAnsi"/>
          <w:b/>
          <w:bCs/>
          <w:sz w:val="32"/>
          <w:szCs w:val="32"/>
        </w:rPr>
        <w:t>4</w:t>
      </w:r>
      <w:r w:rsidRPr="005A7E26">
        <w:rPr>
          <w:rFonts w:asciiTheme="minorHAnsi" w:hAnsiTheme="minorHAnsi"/>
          <w:b/>
          <w:bCs/>
          <w:sz w:val="32"/>
          <w:szCs w:val="32"/>
        </w:rPr>
        <w:br/>
      </w:r>
    </w:p>
    <w:p w14:paraId="3A059750" w14:textId="7E4308E6" w:rsidR="00333CD3" w:rsidRPr="00773D35" w:rsidRDefault="00344AF6" w:rsidP="00333CD3">
      <w:pPr>
        <w:rPr>
          <w:b/>
        </w:rPr>
      </w:pPr>
      <w:r>
        <w:rPr>
          <w:b/>
          <w:sz w:val="24"/>
          <w:szCs w:val="24"/>
        </w:rPr>
        <w:t>Pregnancy and Childbirth and CTA-endorsed Disability Insurance</w:t>
      </w:r>
    </w:p>
    <w:p w14:paraId="4BBD8B50" w14:textId="706F8ADB" w:rsidR="006723E8" w:rsidRPr="00F651C8" w:rsidRDefault="00344AF6" w:rsidP="00F651C8">
      <w:pPr>
        <w:autoSpaceDE w:val="0"/>
        <w:autoSpaceDN w:val="0"/>
        <w:adjustRightInd w:val="0"/>
        <w:ind w:left="0" w:firstLine="0"/>
        <w:rPr>
          <w:rFonts w:cstheme="minorHAnsi"/>
          <w:color w:val="000000"/>
        </w:rPr>
      </w:pPr>
      <w:r w:rsidRPr="00F651C8">
        <w:rPr>
          <w:rFonts w:cstheme="minorHAnsi"/>
          <w:color w:val="000000"/>
        </w:rPr>
        <w:t xml:space="preserve">Did you know pregnancy and childbirth are covered disabling conditions with CTA-endorsed Disability </w:t>
      </w:r>
      <w:r w:rsidR="00D3772E" w:rsidRPr="00F651C8">
        <w:rPr>
          <w:rFonts w:cstheme="minorHAnsi"/>
          <w:color w:val="000000"/>
        </w:rPr>
        <w:t>i</w:t>
      </w:r>
      <w:r w:rsidRPr="00F651C8">
        <w:rPr>
          <w:rFonts w:cstheme="minorHAnsi"/>
          <w:color w:val="000000"/>
        </w:rPr>
        <w:t>nsurance</w:t>
      </w:r>
      <w:r w:rsidR="006723E8" w:rsidRPr="00F651C8">
        <w:rPr>
          <w:rFonts w:cstheme="minorHAnsi"/>
          <w:color w:val="000000"/>
        </w:rPr>
        <w:t xml:space="preserve"> from Standard Insurance Company (The Standard)? </w:t>
      </w:r>
      <w:r w:rsidR="006723E8" w:rsidRPr="00F33E2C">
        <w:rPr>
          <w:rFonts w:cstheme="minorHAnsi"/>
          <w:color w:val="000000"/>
        </w:rPr>
        <w:t>In fact, 4</w:t>
      </w:r>
      <w:r w:rsidR="00F651C8" w:rsidRPr="00F33E2C">
        <w:rPr>
          <w:rFonts w:cstheme="minorHAnsi"/>
          <w:color w:val="000000"/>
        </w:rPr>
        <w:t>3</w:t>
      </w:r>
      <w:r w:rsidR="006723E8" w:rsidRPr="00F33E2C">
        <w:rPr>
          <w:rFonts w:cstheme="minorHAnsi"/>
          <w:color w:val="000000"/>
        </w:rPr>
        <w:t>% of CTA-endorsed Disability claims are pregnancy-related.</w:t>
      </w:r>
      <w:r w:rsidR="006723E8" w:rsidRPr="00F33E2C">
        <w:rPr>
          <w:rFonts w:cstheme="minorHAnsi"/>
          <w:color w:val="000000"/>
          <w:vertAlign w:val="superscript"/>
        </w:rPr>
        <w:t xml:space="preserve">1 </w:t>
      </w:r>
      <w:r w:rsidR="006723E8" w:rsidRPr="00F33E2C">
        <w:rPr>
          <w:rFonts w:cstheme="minorHAnsi"/>
          <w:color w:val="000000"/>
        </w:rPr>
        <w:br/>
      </w:r>
      <w:r w:rsidR="006723E8" w:rsidRPr="00F33E2C">
        <w:rPr>
          <w:rFonts w:cstheme="minorHAnsi"/>
          <w:color w:val="000000"/>
        </w:rPr>
        <w:br/>
        <w:t xml:space="preserve">Think about it this way: You get car insurance to protect your car. You get home/renters insurance to protect </w:t>
      </w:r>
      <w:r w:rsidR="00F651C8" w:rsidRPr="00F33E2C">
        <w:rPr>
          <w:rFonts w:cstheme="minorHAnsi"/>
          <w:color w:val="000000"/>
        </w:rPr>
        <w:t>where you live</w:t>
      </w:r>
      <w:r w:rsidR="006723E8" w:rsidRPr="00F33E2C">
        <w:rPr>
          <w:rFonts w:cstheme="minorHAnsi"/>
          <w:color w:val="000000"/>
        </w:rPr>
        <w:t xml:space="preserve">. Disability insurance works the same way – it helps protect your paycheck before you need </w:t>
      </w:r>
      <w:r w:rsidR="001B4A35" w:rsidRPr="00F33E2C">
        <w:rPr>
          <w:rFonts w:cstheme="minorHAnsi"/>
          <w:color w:val="000000"/>
        </w:rPr>
        <w:t xml:space="preserve">go out on leave </w:t>
      </w:r>
      <w:r w:rsidR="006723E8" w:rsidRPr="00F33E2C">
        <w:rPr>
          <w:rFonts w:cstheme="minorHAnsi"/>
          <w:color w:val="000000"/>
        </w:rPr>
        <w:t>for a covered disabling condition</w:t>
      </w:r>
      <w:r w:rsidR="00F651C8" w:rsidRPr="00F33E2C">
        <w:rPr>
          <w:rFonts w:cstheme="minorHAnsi"/>
          <w:color w:val="000000"/>
        </w:rPr>
        <w:t xml:space="preserve"> (pregnancy, childbirth, illness or injury)</w:t>
      </w:r>
      <w:r w:rsidR="006723E8" w:rsidRPr="00F33E2C">
        <w:rPr>
          <w:rFonts w:cstheme="minorHAnsi"/>
          <w:color w:val="000000"/>
        </w:rPr>
        <w:t>.</w:t>
      </w:r>
      <w:r w:rsidR="006723E8" w:rsidRPr="00F651C8">
        <w:rPr>
          <w:rFonts w:cstheme="minorHAnsi"/>
          <w:color w:val="000000"/>
        </w:rPr>
        <w:t xml:space="preserve"> </w:t>
      </w:r>
    </w:p>
    <w:p w14:paraId="16E0089F" w14:textId="77777777" w:rsidR="006723E8" w:rsidRDefault="006723E8" w:rsidP="00344AF6">
      <w:pPr>
        <w:autoSpaceDE w:val="0"/>
        <w:autoSpaceDN w:val="0"/>
        <w:adjustRightInd w:val="0"/>
        <w:ind w:left="0" w:firstLine="0"/>
        <w:rPr>
          <w:rFonts w:cstheme="minorHAnsi"/>
          <w:color w:val="000000"/>
        </w:rPr>
      </w:pPr>
    </w:p>
    <w:p w14:paraId="5FD5CAAF" w14:textId="1E50E500" w:rsidR="00344AF6" w:rsidRPr="00F651C8" w:rsidRDefault="00344AF6" w:rsidP="00F651C8">
      <w:pPr>
        <w:pStyle w:val="ListParagraph"/>
        <w:numPr>
          <w:ilvl w:val="0"/>
          <w:numId w:val="10"/>
        </w:numPr>
        <w:autoSpaceDE w:val="0"/>
        <w:autoSpaceDN w:val="0"/>
        <w:adjustRightInd w:val="0"/>
        <w:rPr>
          <w:rFonts w:cstheme="minorHAnsi"/>
          <w:color w:val="000000"/>
        </w:rPr>
      </w:pPr>
      <w:r w:rsidRPr="00F651C8">
        <w:rPr>
          <w:rFonts w:cstheme="minorHAnsi"/>
          <w:color w:val="000000"/>
        </w:rPr>
        <w:t>Benefits are paid directly to you and can be used for expenses health insurance doesn’t cover.</w:t>
      </w:r>
    </w:p>
    <w:p w14:paraId="421EE39A" w14:textId="44C03E5B" w:rsidR="00344AF6" w:rsidRPr="00344AF6" w:rsidRDefault="00344AF6" w:rsidP="00344AF6">
      <w:pPr>
        <w:pStyle w:val="ListParagraph"/>
        <w:numPr>
          <w:ilvl w:val="0"/>
          <w:numId w:val="10"/>
        </w:numPr>
        <w:autoSpaceDE w:val="0"/>
        <w:autoSpaceDN w:val="0"/>
        <w:adjustRightInd w:val="0"/>
        <w:rPr>
          <w:rFonts w:cstheme="minorHAnsi"/>
          <w:color w:val="000000"/>
        </w:rPr>
      </w:pPr>
      <w:r w:rsidRPr="00344AF6">
        <w:rPr>
          <w:rFonts w:cstheme="minorHAnsi"/>
          <w:color w:val="000000"/>
        </w:rPr>
        <w:t>Replaces up to 80% of your daily income</w:t>
      </w:r>
      <w:r w:rsidR="006723E8">
        <w:rPr>
          <w:rFonts w:cstheme="minorHAnsi"/>
          <w:color w:val="000000"/>
          <w:vertAlign w:val="superscript"/>
        </w:rPr>
        <w:t>2</w:t>
      </w:r>
    </w:p>
    <w:p w14:paraId="53A71891" w14:textId="2FA7ED1E" w:rsidR="00344AF6" w:rsidRPr="00344AF6" w:rsidRDefault="00344AF6" w:rsidP="00344AF6">
      <w:pPr>
        <w:pStyle w:val="ListParagraph"/>
        <w:numPr>
          <w:ilvl w:val="0"/>
          <w:numId w:val="10"/>
        </w:numPr>
        <w:autoSpaceDE w:val="0"/>
        <w:autoSpaceDN w:val="0"/>
        <w:adjustRightInd w:val="0"/>
        <w:rPr>
          <w:rFonts w:cstheme="minorHAnsi"/>
          <w:color w:val="000000"/>
        </w:rPr>
      </w:pPr>
      <w:r w:rsidRPr="00344AF6">
        <w:rPr>
          <w:rFonts w:cstheme="minorHAnsi"/>
          <w:color w:val="000000"/>
        </w:rPr>
        <w:t>Starts paying benefits after you are out of work for 7 consecutive workdays</w:t>
      </w:r>
      <w:r w:rsidR="006723E8">
        <w:rPr>
          <w:rFonts w:cstheme="minorHAnsi"/>
          <w:color w:val="000000"/>
          <w:vertAlign w:val="superscript"/>
        </w:rPr>
        <w:t>3</w:t>
      </w:r>
    </w:p>
    <w:p w14:paraId="661680FB" w14:textId="77777777" w:rsidR="00344AF6" w:rsidRDefault="00344AF6" w:rsidP="00344AF6">
      <w:pPr>
        <w:pStyle w:val="ListParagraph"/>
        <w:numPr>
          <w:ilvl w:val="0"/>
          <w:numId w:val="10"/>
        </w:numPr>
        <w:autoSpaceDE w:val="0"/>
        <w:autoSpaceDN w:val="0"/>
        <w:adjustRightInd w:val="0"/>
        <w:rPr>
          <w:rFonts w:cstheme="minorHAnsi"/>
          <w:color w:val="000000"/>
        </w:rPr>
      </w:pPr>
      <w:r w:rsidRPr="00344AF6">
        <w:rPr>
          <w:rFonts w:cstheme="minorHAnsi"/>
          <w:color w:val="000000"/>
        </w:rPr>
        <w:t>Covers any preexisting conditions once you are enrolled and work for 10 consecutive workdays</w:t>
      </w:r>
    </w:p>
    <w:p w14:paraId="04020190" w14:textId="43F32932" w:rsidR="00344AF6" w:rsidRDefault="00344AF6" w:rsidP="00344AF6">
      <w:pPr>
        <w:pStyle w:val="ListParagraph"/>
        <w:numPr>
          <w:ilvl w:val="0"/>
          <w:numId w:val="10"/>
        </w:numPr>
        <w:autoSpaceDE w:val="0"/>
        <w:autoSpaceDN w:val="0"/>
        <w:adjustRightInd w:val="0"/>
        <w:rPr>
          <w:rFonts w:cstheme="minorHAnsi"/>
          <w:color w:val="000000"/>
        </w:rPr>
      </w:pPr>
      <w:r w:rsidRPr="00344AF6">
        <w:rPr>
          <w:rFonts w:cstheme="minorHAnsi"/>
          <w:color w:val="000000"/>
        </w:rPr>
        <w:t>Includes a</w:t>
      </w:r>
      <w:r>
        <w:rPr>
          <w:rFonts w:cstheme="minorHAnsi"/>
          <w:color w:val="000000"/>
        </w:rPr>
        <w:t>ccess to Summer Benefit,</w:t>
      </w:r>
      <w:r w:rsidRPr="00344AF6">
        <w:rPr>
          <w:rFonts w:cstheme="minorHAnsi"/>
          <w:color w:val="000000"/>
          <w:vertAlign w:val="superscript"/>
        </w:rPr>
        <w:t xml:space="preserve"> </w:t>
      </w:r>
      <w:r w:rsidR="006723E8">
        <w:rPr>
          <w:rFonts w:cstheme="minorHAnsi"/>
          <w:color w:val="000000"/>
          <w:vertAlign w:val="superscript"/>
        </w:rPr>
        <w:t>4</w:t>
      </w:r>
      <w:r>
        <w:rPr>
          <w:rFonts w:cstheme="minorHAnsi"/>
          <w:color w:val="000000"/>
        </w:rPr>
        <w:t xml:space="preserve"> </w:t>
      </w:r>
      <w:r w:rsidRPr="00344AF6">
        <w:rPr>
          <w:rFonts w:cstheme="minorHAnsi"/>
          <w:color w:val="000000"/>
        </w:rPr>
        <w:t>Student Loan and Cancer Benefits for eligible members</w:t>
      </w:r>
    </w:p>
    <w:p w14:paraId="703917B0" w14:textId="25C7B98E" w:rsidR="00344AF6" w:rsidRDefault="00344AF6" w:rsidP="00A71D38">
      <w:pPr>
        <w:autoSpaceDE w:val="0"/>
        <w:autoSpaceDN w:val="0"/>
        <w:adjustRightInd w:val="0"/>
        <w:ind w:left="0" w:firstLine="0"/>
        <w:rPr>
          <w:rFonts w:cstheme="minorHAnsi"/>
          <w:color w:val="000000"/>
        </w:rPr>
      </w:pPr>
      <w:r>
        <w:rPr>
          <w:rFonts w:cstheme="minorHAnsi"/>
          <w:color w:val="000000"/>
        </w:rPr>
        <w:br/>
      </w:r>
      <w:r w:rsidR="00F651C8" w:rsidRPr="00F651C8">
        <w:rPr>
          <w:rFonts w:cstheme="minorHAnsi"/>
          <w:color w:val="000000"/>
        </w:rPr>
        <w:t>Applying for CTA-endorsed Disability insurance from The Standard can help you prepare in advance if you’re family planning.</w:t>
      </w:r>
      <w:r w:rsidR="00F651C8">
        <w:rPr>
          <w:rFonts w:cstheme="minorHAnsi"/>
          <w:color w:val="000000"/>
        </w:rPr>
        <w:t xml:space="preserve">  </w:t>
      </w:r>
      <w:r w:rsidRPr="00344AF6">
        <w:rPr>
          <w:rFonts w:cstheme="minorHAnsi"/>
          <w:color w:val="000000"/>
        </w:rPr>
        <w:t>Learn more</w:t>
      </w:r>
      <w:r w:rsidR="006723E8">
        <w:rPr>
          <w:rFonts w:cstheme="minorHAnsi"/>
          <w:color w:val="000000"/>
        </w:rPr>
        <w:t xml:space="preserve"> about this important coverage</w:t>
      </w:r>
      <w:r w:rsidRPr="00344AF6">
        <w:rPr>
          <w:rFonts w:cstheme="minorHAnsi"/>
          <w:color w:val="000000"/>
        </w:rPr>
        <w:t xml:space="preserve"> and apply </w:t>
      </w:r>
      <w:r>
        <w:rPr>
          <w:rFonts w:cstheme="minorHAnsi"/>
          <w:color w:val="000000"/>
        </w:rPr>
        <w:t xml:space="preserve">anytime </w:t>
      </w:r>
      <w:r w:rsidRPr="00344AF6">
        <w:rPr>
          <w:rFonts w:cstheme="minorHAnsi"/>
          <w:color w:val="000000"/>
        </w:rPr>
        <w:t xml:space="preserve">at </w:t>
      </w:r>
      <w:r w:rsidRPr="00344AF6">
        <w:rPr>
          <w:rFonts w:cstheme="minorHAnsi"/>
          <w:color w:val="000000"/>
          <w:u w:val="single"/>
        </w:rPr>
        <w:t>CTAMemberBenefits.org/Disability</w:t>
      </w:r>
      <w:r>
        <w:rPr>
          <w:rFonts w:cstheme="minorHAnsi"/>
          <w:color w:val="000000"/>
          <w:u w:val="single"/>
        </w:rPr>
        <w:t>.</w:t>
      </w:r>
    </w:p>
    <w:p w14:paraId="3AF2B6E6" w14:textId="77777777" w:rsidR="00344AF6" w:rsidRDefault="00344AF6" w:rsidP="00A71D38">
      <w:pPr>
        <w:autoSpaceDE w:val="0"/>
        <w:autoSpaceDN w:val="0"/>
        <w:adjustRightInd w:val="0"/>
        <w:ind w:left="0" w:firstLine="0"/>
        <w:rPr>
          <w:rFonts w:cstheme="minorHAnsi"/>
          <w:color w:val="000000"/>
        </w:rPr>
      </w:pPr>
    </w:p>
    <w:p w14:paraId="1080A59A" w14:textId="77777777" w:rsidR="00EE4F4E" w:rsidRDefault="00EE4F4E" w:rsidP="00333CD3"/>
    <w:p w14:paraId="2900035B" w14:textId="79F98643" w:rsidR="006723E8" w:rsidRPr="006723E8" w:rsidRDefault="006723E8" w:rsidP="00333CD3">
      <w:pPr>
        <w:rPr>
          <w:sz w:val="18"/>
          <w:szCs w:val="18"/>
        </w:rPr>
      </w:pPr>
      <w:r w:rsidRPr="006723E8">
        <w:rPr>
          <w:sz w:val="18"/>
          <w:szCs w:val="18"/>
        </w:rPr>
        <w:t xml:space="preserve">1 Based on </w:t>
      </w:r>
      <w:r>
        <w:rPr>
          <w:sz w:val="18"/>
          <w:szCs w:val="18"/>
        </w:rPr>
        <w:t>the claims decision data developed by The Standard for period of 8/1/2020 – 7/31/2023.</w:t>
      </w:r>
    </w:p>
    <w:p w14:paraId="6A2CC01B" w14:textId="3C12DA66" w:rsidR="00344AF6" w:rsidRPr="006723E8" w:rsidRDefault="006723E8" w:rsidP="00344AF6">
      <w:pPr>
        <w:ind w:left="90" w:hanging="90"/>
        <w:rPr>
          <w:rFonts w:cstheme="minorHAnsi"/>
          <w:sz w:val="18"/>
          <w:szCs w:val="18"/>
        </w:rPr>
      </w:pPr>
      <w:r w:rsidRPr="006723E8">
        <w:rPr>
          <w:rFonts w:cstheme="minorHAnsi"/>
          <w:sz w:val="18"/>
          <w:szCs w:val="18"/>
        </w:rPr>
        <w:t>2</w:t>
      </w:r>
      <w:r w:rsidR="00344AF6" w:rsidRPr="006723E8">
        <w:rPr>
          <w:rFonts w:cstheme="minorHAnsi"/>
          <w:sz w:val="18"/>
          <w:szCs w:val="18"/>
        </w:rPr>
        <w:t xml:space="preserve"> Daily income is based on your regular daily contract salary. Benefits will be reduced by deductible income. Examples of deductible income include: personal leave pay, severance pay, substitute differential pay, catastrophic/extraordinary leave bank, salary continuation, workers’ compensation, work earnings, social security, state disability, CalPERS/CalSTRS benefits.</w:t>
      </w:r>
    </w:p>
    <w:p w14:paraId="51D2C651" w14:textId="5F324FD7" w:rsidR="00344AF6" w:rsidRPr="006723E8" w:rsidRDefault="006723E8" w:rsidP="00344AF6">
      <w:pPr>
        <w:ind w:left="90" w:hanging="90"/>
        <w:rPr>
          <w:rFonts w:cstheme="minorHAnsi"/>
          <w:sz w:val="18"/>
          <w:szCs w:val="18"/>
        </w:rPr>
      </w:pPr>
      <w:r w:rsidRPr="006723E8">
        <w:rPr>
          <w:rFonts w:cstheme="minorHAnsi"/>
          <w:sz w:val="18"/>
          <w:szCs w:val="18"/>
        </w:rPr>
        <w:t>3</w:t>
      </w:r>
      <w:r w:rsidR="00344AF6" w:rsidRPr="006723E8">
        <w:rPr>
          <w:rFonts w:cstheme="minorHAnsi"/>
          <w:sz w:val="18"/>
          <w:szCs w:val="18"/>
        </w:rPr>
        <w:t xml:space="preserve"> Workdays means any Regular Day(s) of Required Attendance you are required to be actively at work based on the calendar dates of the school calendar and your employment contract in effect on the date you become disabled.</w:t>
      </w:r>
    </w:p>
    <w:p w14:paraId="1E0EEA98" w14:textId="03E5902B" w:rsidR="00344AF6" w:rsidRPr="006723E8" w:rsidRDefault="006723E8" w:rsidP="00344AF6">
      <w:pPr>
        <w:ind w:left="90" w:hanging="90"/>
        <w:rPr>
          <w:rFonts w:cstheme="minorHAnsi"/>
          <w:sz w:val="18"/>
          <w:szCs w:val="18"/>
        </w:rPr>
      </w:pPr>
      <w:r w:rsidRPr="006723E8">
        <w:rPr>
          <w:rFonts w:cstheme="minorHAnsi"/>
          <w:sz w:val="18"/>
          <w:szCs w:val="18"/>
        </w:rPr>
        <w:t>4</w:t>
      </w:r>
      <w:r w:rsidR="00344AF6" w:rsidRPr="006723E8">
        <w:rPr>
          <w:rFonts w:cstheme="minorHAnsi"/>
          <w:sz w:val="18"/>
          <w:szCs w:val="18"/>
        </w:rPr>
        <w:t xml:space="preserve"> Summer Benefit is offered by CTA to eligible members who meet the Definition of Disability with a Disability date on or after 9/1/2022 who meet additional specific criteria. Summer Benefit is only payable during the calendar months of June and July, for up to two Benefit Years for each instance of qualifying Disability. Summer Benefit is not provided under the Voluntary Disability insurance policy. CTA provides this benefit at no extra cost and The Standard acts only as the claims administrator of this benefit.</w:t>
      </w:r>
    </w:p>
    <w:p w14:paraId="44680BE7" w14:textId="77777777" w:rsidR="00333CD3" w:rsidRPr="006723E8" w:rsidRDefault="00333CD3" w:rsidP="00333CD3">
      <w:pPr>
        <w:rPr>
          <w:i/>
          <w:iCs/>
          <w:sz w:val="18"/>
          <w:szCs w:val="18"/>
        </w:rPr>
      </w:pPr>
    </w:p>
    <w:p w14:paraId="6972BF3E" w14:textId="314A66FF" w:rsidR="008A40F9" w:rsidRPr="006723E8" w:rsidRDefault="008A40F9" w:rsidP="00A71D38">
      <w:pPr>
        <w:ind w:left="0" w:firstLine="0"/>
        <w:rPr>
          <w:rFonts w:asciiTheme="minorHAnsi" w:hAnsiTheme="minorHAnsi" w:cstheme="minorHAnsi"/>
          <w:sz w:val="18"/>
          <w:szCs w:val="18"/>
        </w:rPr>
      </w:pPr>
      <w:r w:rsidRPr="006723E8">
        <w:rPr>
          <w:rFonts w:asciiTheme="minorHAnsi" w:hAnsiTheme="minorHAnsi" w:cstheme="minorHAnsi"/>
          <w:sz w:val="18"/>
          <w:szCs w:val="18"/>
        </w:rPr>
        <w:t>For costs and further details of the coverage, including exclusions, benefit waiting periods, any reductions or limitations and the terms under which the policy may be continued in force, please contact Standard Insurance Company at 800.522.0406. Standard Insurance Company, 1100 SW Sixth Avenue, Portland, OR 97204    GP190-LTD/S399/CTA.1</w:t>
      </w:r>
      <w:r w:rsidR="00344AF6" w:rsidRPr="006723E8">
        <w:rPr>
          <w:rFonts w:asciiTheme="minorHAnsi" w:hAnsiTheme="minorHAnsi" w:cstheme="minorHAnsi"/>
          <w:sz w:val="18"/>
          <w:szCs w:val="18"/>
        </w:rPr>
        <w:t xml:space="preserve">    </w:t>
      </w:r>
      <w:r w:rsidR="00344AF6" w:rsidRPr="006723E8">
        <w:rPr>
          <w:sz w:val="18"/>
          <w:szCs w:val="18"/>
        </w:rPr>
        <w:t xml:space="preserve">SI </w:t>
      </w:r>
      <w:r w:rsidR="00344AF6" w:rsidRPr="006723E8">
        <w:rPr>
          <w:b/>
          <w:bCs/>
          <w:sz w:val="18"/>
          <w:szCs w:val="18"/>
        </w:rPr>
        <w:t>24023-CTAvol</w:t>
      </w:r>
      <w:r w:rsidR="00344AF6" w:rsidRPr="006723E8">
        <w:rPr>
          <w:sz w:val="18"/>
          <w:szCs w:val="18"/>
        </w:rPr>
        <w:t xml:space="preserve"> (11/24)</w:t>
      </w:r>
    </w:p>
    <w:p w14:paraId="14E9E377" w14:textId="77777777" w:rsidR="008A40F9" w:rsidRPr="00A734CA" w:rsidRDefault="008A40F9" w:rsidP="00333CD3">
      <w:pPr>
        <w:rPr>
          <w:sz w:val="18"/>
          <w:szCs w:val="18"/>
        </w:rPr>
      </w:pPr>
    </w:p>
    <w:p w14:paraId="305CBB44" w14:textId="77777777" w:rsidR="00333CD3" w:rsidRPr="00773D35" w:rsidRDefault="00333CD3" w:rsidP="00333CD3">
      <w:pPr>
        <w:rPr>
          <w:sz w:val="18"/>
          <w:szCs w:val="18"/>
        </w:rPr>
      </w:pPr>
    </w:p>
    <w:p w14:paraId="5A833265" w14:textId="77777777" w:rsidR="00D53C0F" w:rsidRDefault="00D53C0F" w:rsidP="00D53C0F">
      <w:pPr>
        <w:autoSpaceDE w:val="0"/>
        <w:autoSpaceDN w:val="0"/>
        <w:adjustRightInd w:val="0"/>
        <w:rPr>
          <w:rFonts w:asciiTheme="minorHAnsi" w:eastAsia="Times New Roman" w:hAnsiTheme="minorHAnsi" w:cs="HelveticaNeue-Roman"/>
          <w:color w:val="FF0000"/>
          <w:sz w:val="20"/>
          <w:szCs w:val="20"/>
        </w:rPr>
      </w:pPr>
    </w:p>
    <w:p w14:paraId="76313703" w14:textId="77777777" w:rsidR="00D53C0F" w:rsidRPr="008325E9" w:rsidRDefault="00D53C0F" w:rsidP="00D53C0F">
      <w:pPr>
        <w:rPr>
          <w:rFonts w:asciiTheme="minorHAnsi" w:hAnsiTheme="minorHAnsi"/>
          <w:sz w:val="20"/>
          <w:szCs w:val="20"/>
        </w:rPr>
      </w:pPr>
    </w:p>
    <w:p w14:paraId="591864A0" w14:textId="77777777" w:rsidR="00D53C0F" w:rsidRPr="005A7E26" w:rsidRDefault="00D53C0F" w:rsidP="00D53C0F">
      <w:pPr>
        <w:autoSpaceDE w:val="0"/>
        <w:autoSpaceDN w:val="0"/>
        <w:ind w:left="0" w:firstLine="0"/>
        <w:rPr>
          <w:rFonts w:asciiTheme="minorHAnsi" w:hAnsiTheme="minorHAnsi" w:cs="Arial"/>
          <w:b/>
          <w:bCs/>
          <w:sz w:val="32"/>
          <w:szCs w:val="32"/>
        </w:rPr>
      </w:pPr>
    </w:p>
    <w:p w14:paraId="21F8C5F1" w14:textId="77777777" w:rsidR="00220678" w:rsidRDefault="00220678" w:rsidP="00220678">
      <w:pPr>
        <w:autoSpaceDE w:val="0"/>
        <w:autoSpaceDN w:val="0"/>
        <w:adjustRightInd w:val="0"/>
        <w:ind w:left="0" w:firstLine="0"/>
        <w:rPr>
          <w:rFonts w:cstheme="minorHAnsi"/>
          <w:color w:val="000000"/>
        </w:rPr>
      </w:pPr>
    </w:p>
    <w:sectPr w:rsidR="00220678" w:rsidSect="00957B22">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Helvetica Neue LT Std">
    <w:altName w:val="Arial"/>
    <w:panose1 w:val="00000000000000000000"/>
    <w:charset w:val="00"/>
    <w:family w:val="roman"/>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529CF"/>
    <w:multiLevelType w:val="hybridMultilevel"/>
    <w:tmpl w:val="777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D481E"/>
    <w:multiLevelType w:val="hybridMultilevel"/>
    <w:tmpl w:val="BD9CA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D740D"/>
    <w:multiLevelType w:val="hybridMultilevel"/>
    <w:tmpl w:val="CF1C05E6"/>
    <w:lvl w:ilvl="0" w:tplc="98742858">
      <w:start w:val="1"/>
      <w:numFmt w:val="decimal"/>
      <w:lvlText w:val="%1"/>
      <w:lvlJc w:val="left"/>
      <w:pPr>
        <w:tabs>
          <w:tab w:val="num" w:pos="720"/>
        </w:tabs>
        <w:ind w:left="720" w:hanging="360"/>
      </w:pPr>
    </w:lvl>
    <w:lvl w:ilvl="1" w:tplc="15EA3560" w:tentative="1">
      <w:start w:val="1"/>
      <w:numFmt w:val="decimal"/>
      <w:lvlText w:val="%2"/>
      <w:lvlJc w:val="left"/>
      <w:pPr>
        <w:tabs>
          <w:tab w:val="num" w:pos="1440"/>
        </w:tabs>
        <w:ind w:left="1440" w:hanging="360"/>
      </w:pPr>
    </w:lvl>
    <w:lvl w:ilvl="2" w:tplc="173EF006" w:tentative="1">
      <w:start w:val="1"/>
      <w:numFmt w:val="decimal"/>
      <w:lvlText w:val="%3"/>
      <w:lvlJc w:val="left"/>
      <w:pPr>
        <w:tabs>
          <w:tab w:val="num" w:pos="2160"/>
        </w:tabs>
        <w:ind w:left="2160" w:hanging="360"/>
      </w:pPr>
    </w:lvl>
    <w:lvl w:ilvl="3" w:tplc="A4665AA4" w:tentative="1">
      <w:start w:val="1"/>
      <w:numFmt w:val="decimal"/>
      <w:lvlText w:val="%4"/>
      <w:lvlJc w:val="left"/>
      <w:pPr>
        <w:tabs>
          <w:tab w:val="num" w:pos="2880"/>
        </w:tabs>
        <w:ind w:left="2880" w:hanging="360"/>
      </w:pPr>
    </w:lvl>
    <w:lvl w:ilvl="4" w:tplc="A25410F6" w:tentative="1">
      <w:start w:val="1"/>
      <w:numFmt w:val="decimal"/>
      <w:lvlText w:val="%5"/>
      <w:lvlJc w:val="left"/>
      <w:pPr>
        <w:tabs>
          <w:tab w:val="num" w:pos="3600"/>
        </w:tabs>
        <w:ind w:left="3600" w:hanging="360"/>
      </w:pPr>
    </w:lvl>
    <w:lvl w:ilvl="5" w:tplc="246ED1D0" w:tentative="1">
      <w:start w:val="1"/>
      <w:numFmt w:val="decimal"/>
      <w:lvlText w:val="%6"/>
      <w:lvlJc w:val="left"/>
      <w:pPr>
        <w:tabs>
          <w:tab w:val="num" w:pos="4320"/>
        </w:tabs>
        <w:ind w:left="4320" w:hanging="360"/>
      </w:pPr>
    </w:lvl>
    <w:lvl w:ilvl="6" w:tplc="C74AE4E0" w:tentative="1">
      <w:start w:val="1"/>
      <w:numFmt w:val="decimal"/>
      <w:lvlText w:val="%7"/>
      <w:lvlJc w:val="left"/>
      <w:pPr>
        <w:tabs>
          <w:tab w:val="num" w:pos="5040"/>
        </w:tabs>
        <w:ind w:left="5040" w:hanging="360"/>
      </w:pPr>
    </w:lvl>
    <w:lvl w:ilvl="7" w:tplc="F2F6559A" w:tentative="1">
      <w:start w:val="1"/>
      <w:numFmt w:val="decimal"/>
      <w:lvlText w:val="%8"/>
      <w:lvlJc w:val="left"/>
      <w:pPr>
        <w:tabs>
          <w:tab w:val="num" w:pos="5760"/>
        </w:tabs>
        <w:ind w:left="5760" w:hanging="360"/>
      </w:pPr>
    </w:lvl>
    <w:lvl w:ilvl="8" w:tplc="8F843616" w:tentative="1">
      <w:start w:val="1"/>
      <w:numFmt w:val="decimal"/>
      <w:lvlText w:val="%9"/>
      <w:lvlJc w:val="left"/>
      <w:pPr>
        <w:tabs>
          <w:tab w:val="num" w:pos="6480"/>
        </w:tabs>
        <w:ind w:left="6480" w:hanging="360"/>
      </w:pPr>
    </w:lvl>
  </w:abstractNum>
  <w:abstractNum w:abstractNumId="3" w15:restartNumberingAfterBreak="0">
    <w:nsid w:val="3E952AB1"/>
    <w:multiLevelType w:val="multilevel"/>
    <w:tmpl w:val="F7C01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A1CD9"/>
    <w:multiLevelType w:val="hybridMultilevel"/>
    <w:tmpl w:val="D46E3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B532B8"/>
    <w:multiLevelType w:val="hybridMultilevel"/>
    <w:tmpl w:val="EED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5518B"/>
    <w:multiLevelType w:val="hybridMultilevel"/>
    <w:tmpl w:val="25DCCCD0"/>
    <w:lvl w:ilvl="0" w:tplc="29DAE2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573EB"/>
    <w:multiLevelType w:val="hybridMultilevel"/>
    <w:tmpl w:val="BDA6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37477"/>
    <w:multiLevelType w:val="hybridMultilevel"/>
    <w:tmpl w:val="744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84F54"/>
    <w:multiLevelType w:val="hybridMultilevel"/>
    <w:tmpl w:val="FCA2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53724"/>
    <w:multiLevelType w:val="hybridMultilevel"/>
    <w:tmpl w:val="4A62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941101">
    <w:abstractNumId w:val="9"/>
  </w:num>
  <w:num w:numId="2" w16cid:durableId="939490890">
    <w:abstractNumId w:val="1"/>
  </w:num>
  <w:num w:numId="3" w16cid:durableId="1373339575">
    <w:abstractNumId w:val="4"/>
  </w:num>
  <w:num w:numId="4" w16cid:durableId="1577351746">
    <w:abstractNumId w:val="0"/>
  </w:num>
  <w:num w:numId="5" w16cid:durableId="844635214">
    <w:abstractNumId w:val="2"/>
  </w:num>
  <w:num w:numId="6" w16cid:durableId="2128814321">
    <w:abstractNumId w:val="7"/>
  </w:num>
  <w:num w:numId="7" w16cid:durableId="1282298043">
    <w:abstractNumId w:val="6"/>
  </w:num>
  <w:num w:numId="8" w16cid:durableId="597257112">
    <w:abstractNumId w:val="8"/>
  </w:num>
  <w:num w:numId="9" w16cid:durableId="436676610">
    <w:abstractNumId w:val="3"/>
  </w:num>
  <w:num w:numId="10" w16cid:durableId="1099062687">
    <w:abstractNumId w:val="10"/>
  </w:num>
  <w:num w:numId="11" w16cid:durableId="165066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8C"/>
    <w:rsid w:val="00003015"/>
    <w:rsid w:val="00003413"/>
    <w:rsid w:val="0001342A"/>
    <w:rsid w:val="00017F5A"/>
    <w:rsid w:val="0003566C"/>
    <w:rsid w:val="00073813"/>
    <w:rsid w:val="000A52DC"/>
    <w:rsid w:val="0011468B"/>
    <w:rsid w:val="00121D11"/>
    <w:rsid w:val="00124E35"/>
    <w:rsid w:val="00150FE2"/>
    <w:rsid w:val="00167DB0"/>
    <w:rsid w:val="00177D9F"/>
    <w:rsid w:val="0019001B"/>
    <w:rsid w:val="0019437F"/>
    <w:rsid w:val="001B4A35"/>
    <w:rsid w:val="001E08C7"/>
    <w:rsid w:val="001E7826"/>
    <w:rsid w:val="00215B66"/>
    <w:rsid w:val="002170C2"/>
    <w:rsid w:val="00220678"/>
    <w:rsid w:val="00271E21"/>
    <w:rsid w:val="00272FB4"/>
    <w:rsid w:val="00275066"/>
    <w:rsid w:val="0032535B"/>
    <w:rsid w:val="00333CD3"/>
    <w:rsid w:val="00344AF6"/>
    <w:rsid w:val="00351C67"/>
    <w:rsid w:val="00354337"/>
    <w:rsid w:val="00373BFD"/>
    <w:rsid w:val="00406732"/>
    <w:rsid w:val="00417F02"/>
    <w:rsid w:val="00426593"/>
    <w:rsid w:val="004541B9"/>
    <w:rsid w:val="0045421B"/>
    <w:rsid w:val="004706DB"/>
    <w:rsid w:val="004913FD"/>
    <w:rsid w:val="0049171A"/>
    <w:rsid w:val="004966FC"/>
    <w:rsid w:val="004D4F1C"/>
    <w:rsid w:val="004F6EEB"/>
    <w:rsid w:val="00520B3C"/>
    <w:rsid w:val="0052543B"/>
    <w:rsid w:val="005932B1"/>
    <w:rsid w:val="00594BD8"/>
    <w:rsid w:val="005A7E26"/>
    <w:rsid w:val="005B218C"/>
    <w:rsid w:val="005C0352"/>
    <w:rsid w:val="005D2E40"/>
    <w:rsid w:val="00606D36"/>
    <w:rsid w:val="00606EF1"/>
    <w:rsid w:val="00647C21"/>
    <w:rsid w:val="006723E8"/>
    <w:rsid w:val="00691113"/>
    <w:rsid w:val="006C337B"/>
    <w:rsid w:val="006C6F42"/>
    <w:rsid w:val="006C7889"/>
    <w:rsid w:val="006E5041"/>
    <w:rsid w:val="006E6FAF"/>
    <w:rsid w:val="00720583"/>
    <w:rsid w:val="0082232D"/>
    <w:rsid w:val="00840C12"/>
    <w:rsid w:val="00855238"/>
    <w:rsid w:val="00857385"/>
    <w:rsid w:val="00865A17"/>
    <w:rsid w:val="00881985"/>
    <w:rsid w:val="008955BA"/>
    <w:rsid w:val="008A40F9"/>
    <w:rsid w:val="008C31AC"/>
    <w:rsid w:val="008D355C"/>
    <w:rsid w:val="008D560E"/>
    <w:rsid w:val="00913A6C"/>
    <w:rsid w:val="00921BA5"/>
    <w:rsid w:val="00957B22"/>
    <w:rsid w:val="00962143"/>
    <w:rsid w:val="00A71D38"/>
    <w:rsid w:val="00A90EAA"/>
    <w:rsid w:val="00AC23C5"/>
    <w:rsid w:val="00AF1324"/>
    <w:rsid w:val="00B11E63"/>
    <w:rsid w:val="00B23607"/>
    <w:rsid w:val="00B24A9E"/>
    <w:rsid w:val="00B3608C"/>
    <w:rsid w:val="00B467BF"/>
    <w:rsid w:val="00B71056"/>
    <w:rsid w:val="00B71E52"/>
    <w:rsid w:val="00B7287E"/>
    <w:rsid w:val="00B91EE7"/>
    <w:rsid w:val="00BD5534"/>
    <w:rsid w:val="00BE1E77"/>
    <w:rsid w:val="00BE6239"/>
    <w:rsid w:val="00C050C0"/>
    <w:rsid w:val="00C151FC"/>
    <w:rsid w:val="00C15D6A"/>
    <w:rsid w:val="00C5054A"/>
    <w:rsid w:val="00CB32A7"/>
    <w:rsid w:val="00CE5B7B"/>
    <w:rsid w:val="00D01FFB"/>
    <w:rsid w:val="00D10AD6"/>
    <w:rsid w:val="00D1168C"/>
    <w:rsid w:val="00D3772E"/>
    <w:rsid w:val="00D5004D"/>
    <w:rsid w:val="00D53C0F"/>
    <w:rsid w:val="00D54CCE"/>
    <w:rsid w:val="00DA1CEE"/>
    <w:rsid w:val="00DA45C0"/>
    <w:rsid w:val="00DC57D8"/>
    <w:rsid w:val="00DE34D7"/>
    <w:rsid w:val="00E10AF5"/>
    <w:rsid w:val="00E115F1"/>
    <w:rsid w:val="00E15E24"/>
    <w:rsid w:val="00E25562"/>
    <w:rsid w:val="00E34AF0"/>
    <w:rsid w:val="00E617D8"/>
    <w:rsid w:val="00E80CB2"/>
    <w:rsid w:val="00E97DEE"/>
    <w:rsid w:val="00EB44A9"/>
    <w:rsid w:val="00EE4F4E"/>
    <w:rsid w:val="00EF0DBE"/>
    <w:rsid w:val="00EF30CE"/>
    <w:rsid w:val="00F01531"/>
    <w:rsid w:val="00F3096A"/>
    <w:rsid w:val="00F33E2C"/>
    <w:rsid w:val="00F4629E"/>
    <w:rsid w:val="00F64562"/>
    <w:rsid w:val="00F651C8"/>
    <w:rsid w:val="00F855F8"/>
    <w:rsid w:val="00F96701"/>
    <w:rsid w:val="00FB2005"/>
    <w:rsid w:val="00FC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5A7E"/>
  <w15:docId w15:val="{43B8F74E-4A26-4ADE-B7BB-31549A88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8C"/>
    <w:pPr>
      <w:spacing w:after="0" w:line="240" w:lineRule="auto"/>
      <w:ind w:left="36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FB4"/>
    <w:rPr>
      <w:color w:val="0000FF" w:themeColor="hyperlink"/>
      <w:u w:val="single"/>
    </w:rPr>
  </w:style>
  <w:style w:type="paragraph" w:styleId="NormalWeb">
    <w:name w:val="Normal (Web)"/>
    <w:basedOn w:val="Normal"/>
    <w:uiPriority w:val="99"/>
    <w:semiHidden/>
    <w:unhideWhenUsed/>
    <w:rsid w:val="00406732"/>
    <w:pPr>
      <w:spacing w:after="150" w:line="300" w:lineRule="atLeast"/>
      <w:ind w:left="0" w:firstLine="0"/>
    </w:pPr>
    <w:rPr>
      <w:rFonts w:ascii="Arial" w:hAnsi="Arial" w:cs="Arial"/>
      <w:color w:val="555555"/>
      <w:sz w:val="18"/>
      <w:szCs w:val="18"/>
    </w:rPr>
  </w:style>
  <w:style w:type="character" w:styleId="Emphasis">
    <w:name w:val="Emphasis"/>
    <w:uiPriority w:val="20"/>
    <w:qFormat/>
    <w:rsid w:val="00406732"/>
    <w:rPr>
      <w:i/>
      <w:iCs/>
    </w:rPr>
  </w:style>
  <w:style w:type="paragraph" w:customStyle="1" w:styleId="Default">
    <w:name w:val="Default"/>
    <w:rsid w:val="00D1168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287E"/>
    <w:pPr>
      <w:ind w:left="720"/>
      <w:contextualSpacing/>
    </w:pPr>
  </w:style>
  <w:style w:type="paragraph" w:styleId="BalloonText">
    <w:name w:val="Balloon Text"/>
    <w:basedOn w:val="Normal"/>
    <w:link w:val="BalloonTextChar"/>
    <w:uiPriority w:val="99"/>
    <w:semiHidden/>
    <w:unhideWhenUsed/>
    <w:rsid w:val="001E0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C7"/>
    <w:rPr>
      <w:rFonts w:ascii="Segoe UI" w:eastAsia="Calibri" w:hAnsi="Segoe UI" w:cs="Segoe UI"/>
      <w:sz w:val="18"/>
      <w:szCs w:val="18"/>
    </w:rPr>
  </w:style>
  <w:style w:type="paragraph" w:customStyle="1" w:styleId="Pa10">
    <w:name w:val="Pa10"/>
    <w:basedOn w:val="Default"/>
    <w:next w:val="Default"/>
    <w:uiPriority w:val="99"/>
    <w:rsid w:val="00B24A9E"/>
    <w:pPr>
      <w:spacing w:line="161" w:lineRule="atLeast"/>
    </w:pPr>
    <w:rPr>
      <w:rFonts w:ascii="HelveticaNeueLT Std" w:hAnsi="HelveticaNeueLT Std" w:cstheme="minorBidi"/>
      <w:color w:val="auto"/>
    </w:rPr>
  </w:style>
  <w:style w:type="character" w:customStyle="1" w:styleId="A0">
    <w:name w:val="A0"/>
    <w:uiPriority w:val="99"/>
    <w:rsid w:val="00B24A9E"/>
    <w:rPr>
      <w:rFonts w:cs="HelveticaNeueLT Std"/>
      <w:color w:val="221E1F"/>
      <w:sz w:val="20"/>
      <w:szCs w:val="20"/>
    </w:rPr>
  </w:style>
  <w:style w:type="character" w:customStyle="1" w:styleId="A13">
    <w:name w:val="A13"/>
    <w:uiPriority w:val="99"/>
    <w:rsid w:val="00B24A9E"/>
    <w:rPr>
      <w:rFonts w:cs="HelveticaNeueLT Std"/>
      <w:color w:val="221E1F"/>
      <w:sz w:val="11"/>
      <w:szCs w:val="11"/>
    </w:rPr>
  </w:style>
  <w:style w:type="paragraph" w:customStyle="1" w:styleId="Pa6">
    <w:name w:val="Pa6"/>
    <w:basedOn w:val="Default"/>
    <w:next w:val="Default"/>
    <w:uiPriority w:val="99"/>
    <w:rsid w:val="00865A17"/>
    <w:pPr>
      <w:spacing w:line="161" w:lineRule="atLeast"/>
    </w:pPr>
    <w:rPr>
      <w:rFonts w:ascii="HelveticaNeueLT Std" w:hAnsi="HelveticaNeueLT Std" w:cstheme="minorBidi"/>
      <w:color w:val="auto"/>
    </w:rPr>
  </w:style>
  <w:style w:type="paragraph" w:customStyle="1" w:styleId="Pa3">
    <w:name w:val="Pa3"/>
    <w:basedOn w:val="Default"/>
    <w:next w:val="Default"/>
    <w:uiPriority w:val="99"/>
    <w:rsid w:val="00E80CB2"/>
    <w:pPr>
      <w:spacing w:line="201" w:lineRule="atLeast"/>
    </w:pPr>
    <w:rPr>
      <w:rFonts w:ascii="Helvetica Neue LT Std" w:hAnsi="Helvetica Neue LT Std" w:cstheme="minorBidi"/>
      <w:color w:val="auto"/>
    </w:rPr>
  </w:style>
  <w:style w:type="character" w:customStyle="1" w:styleId="A4">
    <w:name w:val="A4"/>
    <w:uiPriority w:val="99"/>
    <w:rsid w:val="00DA1CEE"/>
    <w:rPr>
      <w:rFonts w:cs="Helvetica Neue LT Std"/>
      <w:color w:val="005CAA"/>
      <w:sz w:val="28"/>
      <w:szCs w:val="28"/>
    </w:rPr>
  </w:style>
  <w:style w:type="character" w:styleId="UnresolvedMention">
    <w:name w:val="Unresolved Mention"/>
    <w:basedOn w:val="DefaultParagraphFont"/>
    <w:uiPriority w:val="99"/>
    <w:semiHidden/>
    <w:unhideWhenUsed/>
    <w:rsid w:val="00DA1CEE"/>
    <w:rPr>
      <w:color w:val="605E5C"/>
      <w:shd w:val="clear" w:color="auto" w:fill="E1DFDD"/>
    </w:rPr>
  </w:style>
  <w:style w:type="character" w:styleId="CommentReference">
    <w:name w:val="annotation reference"/>
    <w:basedOn w:val="DefaultParagraphFont"/>
    <w:uiPriority w:val="99"/>
    <w:semiHidden/>
    <w:unhideWhenUsed/>
    <w:rsid w:val="00A90EAA"/>
    <w:rPr>
      <w:sz w:val="16"/>
      <w:szCs w:val="16"/>
    </w:rPr>
  </w:style>
  <w:style w:type="paragraph" w:styleId="CommentText">
    <w:name w:val="annotation text"/>
    <w:basedOn w:val="Normal"/>
    <w:link w:val="CommentTextChar"/>
    <w:uiPriority w:val="99"/>
    <w:unhideWhenUsed/>
    <w:rsid w:val="00A90EAA"/>
    <w:rPr>
      <w:sz w:val="20"/>
      <w:szCs w:val="20"/>
    </w:rPr>
  </w:style>
  <w:style w:type="character" w:customStyle="1" w:styleId="CommentTextChar">
    <w:name w:val="Comment Text Char"/>
    <w:basedOn w:val="DefaultParagraphFont"/>
    <w:link w:val="CommentText"/>
    <w:uiPriority w:val="99"/>
    <w:rsid w:val="00A90E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0EAA"/>
    <w:rPr>
      <w:b/>
      <w:bCs/>
    </w:rPr>
  </w:style>
  <w:style w:type="character" w:customStyle="1" w:styleId="CommentSubjectChar">
    <w:name w:val="Comment Subject Char"/>
    <w:basedOn w:val="CommentTextChar"/>
    <w:link w:val="CommentSubject"/>
    <w:uiPriority w:val="99"/>
    <w:semiHidden/>
    <w:rsid w:val="00A90EA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4965">
      <w:bodyDiv w:val="1"/>
      <w:marLeft w:val="0"/>
      <w:marRight w:val="0"/>
      <w:marTop w:val="0"/>
      <w:marBottom w:val="0"/>
      <w:divBdr>
        <w:top w:val="none" w:sz="0" w:space="0" w:color="auto"/>
        <w:left w:val="none" w:sz="0" w:space="0" w:color="auto"/>
        <w:bottom w:val="none" w:sz="0" w:space="0" w:color="auto"/>
        <w:right w:val="none" w:sz="0" w:space="0" w:color="auto"/>
      </w:divBdr>
    </w:div>
    <w:div w:id="300888383">
      <w:bodyDiv w:val="1"/>
      <w:marLeft w:val="0"/>
      <w:marRight w:val="0"/>
      <w:marTop w:val="0"/>
      <w:marBottom w:val="0"/>
      <w:divBdr>
        <w:top w:val="none" w:sz="0" w:space="0" w:color="auto"/>
        <w:left w:val="none" w:sz="0" w:space="0" w:color="auto"/>
        <w:bottom w:val="none" w:sz="0" w:space="0" w:color="auto"/>
        <w:right w:val="none" w:sz="0" w:space="0" w:color="auto"/>
      </w:divBdr>
    </w:div>
    <w:div w:id="354426934">
      <w:bodyDiv w:val="1"/>
      <w:marLeft w:val="0"/>
      <w:marRight w:val="0"/>
      <w:marTop w:val="0"/>
      <w:marBottom w:val="0"/>
      <w:divBdr>
        <w:top w:val="none" w:sz="0" w:space="0" w:color="auto"/>
        <w:left w:val="none" w:sz="0" w:space="0" w:color="auto"/>
        <w:bottom w:val="none" w:sz="0" w:space="0" w:color="auto"/>
        <w:right w:val="none" w:sz="0" w:space="0" w:color="auto"/>
      </w:divBdr>
      <w:divsChild>
        <w:div w:id="1895769181">
          <w:marLeft w:val="360"/>
          <w:marRight w:val="0"/>
          <w:marTop w:val="0"/>
          <w:marBottom w:val="0"/>
          <w:divBdr>
            <w:top w:val="none" w:sz="0" w:space="0" w:color="auto"/>
            <w:left w:val="none" w:sz="0" w:space="0" w:color="auto"/>
            <w:bottom w:val="none" w:sz="0" w:space="0" w:color="auto"/>
            <w:right w:val="none" w:sz="0" w:space="0" w:color="auto"/>
          </w:divBdr>
        </w:div>
      </w:divsChild>
    </w:div>
    <w:div w:id="751972547">
      <w:bodyDiv w:val="1"/>
      <w:marLeft w:val="0"/>
      <w:marRight w:val="0"/>
      <w:marTop w:val="0"/>
      <w:marBottom w:val="0"/>
      <w:divBdr>
        <w:top w:val="none" w:sz="0" w:space="0" w:color="auto"/>
        <w:left w:val="none" w:sz="0" w:space="0" w:color="auto"/>
        <w:bottom w:val="none" w:sz="0" w:space="0" w:color="auto"/>
        <w:right w:val="none" w:sz="0" w:space="0" w:color="auto"/>
      </w:divBdr>
    </w:div>
    <w:div w:id="1026053834">
      <w:bodyDiv w:val="1"/>
      <w:marLeft w:val="0"/>
      <w:marRight w:val="0"/>
      <w:marTop w:val="0"/>
      <w:marBottom w:val="0"/>
      <w:divBdr>
        <w:top w:val="none" w:sz="0" w:space="0" w:color="auto"/>
        <w:left w:val="none" w:sz="0" w:space="0" w:color="auto"/>
        <w:bottom w:val="none" w:sz="0" w:space="0" w:color="auto"/>
        <w:right w:val="none" w:sz="0" w:space="0" w:color="auto"/>
      </w:divBdr>
    </w:div>
    <w:div w:id="1040785584">
      <w:bodyDiv w:val="1"/>
      <w:marLeft w:val="0"/>
      <w:marRight w:val="0"/>
      <w:marTop w:val="0"/>
      <w:marBottom w:val="0"/>
      <w:divBdr>
        <w:top w:val="none" w:sz="0" w:space="0" w:color="auto"/>
        <w:left w:val="none" w:sz="0" w:space="0" w:color="auto"/>
        <w:bottom w:val="none" w:sz="0" w:space="0" w:color="auto"/>
        <w:right w:val="none" w:sz="0" w:space="0" w:color="auto"/>
      </w:divBdr>
    </w:div>
    <w:div w:id="1118334170">
      <w:bodyDiv w:val="1"/>
      <w:marLeft w:val="0"/>
      <w:marRight w:val="0"/>
      <w:marTop w:val="0"/>
      <w:marBottom w:val="0"/>
      <w:divBdr>
        <w:top w:val="none" w:sz="0" w:space="0" w:color="auto"/>
        <w:left w:val="none" w:sz="0" w:space="0" w:color="auto"/>
        <w:bottom w:val="none" w:sz="0" w:space="0" w:color="auto"/>
        <w:right w:val="none" w:sz="0" w:space="0" w:color="auto"/>
      </w:divBdr>
    </w:div>
    <w:div w:id="1316183456">
      <w:bodyDiv w:val="1"/>
      <w:marLeft w:val="0"/>
      <w:marRight w:val="0"/>
      <w:marTop w:val="0"/>
      <w:marBottom w:val="0"/>
      <w:divBdr>
        <w:top w:val="none" w:sz="0" w:space="0" w:color="auto"/>
        <w:left w:val="none" w:sz="0" w:space="0" w:color="auto"/>
        <w:bottom w:val="none" w:sz="0" w:space="0" w:color="auto"/>
        <w:right w:val="none" w:sz="0" w:space="0" w:color="auto"/>
      </w:divBdr>
    </w:div>
    <w:div w:id="1839341459">
      <w:bodyDiv w:val="1"/>
      <w:marLeft w:val="0"/>
      <w:marRight w:val="0"/>
      <w:marTop w:val="0"/>
      <w:marBottom w:val="0"/>
      <w:divBdr>
        <w:top w:val="none" w:sz="0" w:space="0" w:color="auto"/>
        <w:left w:val="none" w:sz="0" w:space="0" w:color="auto"/>
        <w:bottom w:val="none" w:sz="0" w:space="0" w:color="auto"/>
        <w:right w:val="none" w:sz="0" w:space="0" w:color="auto"/>
      </w:divBdr>
    </w:div>
    <w:div w:id="1884441924">
      <w:bodyDiv w:val="1"/>
      <w:marLeft w:val="0"/>
      <w:marRight w:val="0"/>
      <w:marTop w:val="0"/>
      <w:marBottom w:val="0"/>
      <w:divBdr>
        <w:top w:val="none" w:sz="0" w:space="0" w:color="auto"/>
        <w:left w:val="none" w:sz="0" w:space="0" w:color="auto"/>
        <w:bottom w:val="none" w:sz="0" w:space="0" w:color="auto"/>
        <w:right w:val="none" w:sz="0" w:space="0" w:color="auto"/>
      </w:divBdr>
    </w:div>
    <w:div w:id="20972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E12D641FF2445A10E1CEF35C61271" ma:contentTypeVersion="22" ma:contentTypeDescription="Create a new document." ma:contentTypeScope="" ma:versionID="1b061bf6cb4120127a5bfd1731826b32">
  <xsd:schema xmlns:xsd="http://www.w3.org/2001/XMLSchema" xmlns:xs="http://www.w3.org/2001/XMLSchema" xmlns:p="http://schemas.microsoft.com/office/2006/metadata/properties" xmlns:ns1="http://schemas.microsoft.com/sharepoint/v3" xmlns:ns2="c4478d43-1526-4c79-8938-96a3ec8d5d67" xmlns:ns3="29bc0c01-2a3b-4779-be35-4aabc63db465" targetNamespace="http://schemas.microsoft.com/office/2006/metadata/properties" ma:root="true" ma:fieldsID="b3ae251b13c84f03ffa198b208d692f7" ns1:_="" ns2:_="" ns3:_="">
    <xsd:import namespace="http://schemas.microsoft.com/sharepoint/v3"/>
    <xsd:import namespace="c4478d43-1526-4c79-8938-96a3ec8d5d67"/>
    <xsd:import namespace="29bc0c01-2a3b-4779-be35-4aabc63db465"/>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78d43-1526-4c79-8938-96a3ec8d5d6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93d3ca60-cee4-404e-bd9e-6d7c3a5c0e10}" ma:internalName="TaxCatchAll" ma:showField="CatchAllData" ma:web="c4478d43-1526-4c79-8938-96a3ec8d5d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c0c01-2a3b-4779-be35-4aabc63db4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bc0c01-2a3b-4779-be35-4aabc63db465">
      <Terms xmlns="http://schemas.microsoft.com/office/infopath/2007/PartnerControls"/>
    </lcf76f155ced4ddcb4097134ff3c332f>
    <TaxKeywordTaxHTField xmlns="c4478d43-1526-4c79-8938-96a3ec8d5d67">
      <Terms xmlns="http://schemas.microsoft.com/office/infopath/2007/PartnerControls"/>
    </TaxKeywordTaxHTField>
    <_ip_UnifiedCompliancePolicyProperties xmlns="http://schemas.microsoft.com/sharepoint/v3" xsi:nil="true"/>
    <TaxCatchAll xmlns="c4478d43-1526-4c79-8938-96a3ec8d5d67" xsi:nil="true"/>
  </documentManagement>
</p:properties>
</file>

<file path=customXml/itemProps1.xml><?xml version="1.0" encoding="utf-8"?>
<ds:datastoreItem xmlns:ds="http://schemas.openxmlformats.org/officeDocument/2006/customXml" ds:itemID="{DAD383A7-E805-4142-BF4D-5D3B7134E6EE}"/>
</file>

<file path=customXml/itemProps2.xml><?xml version="1.0" encoding="utf-8"?>
<ds:datastoreItem xmlns:ds="http://schemas.openxmlformats.org/officeDocument/2006/customXml" ds:itemID="{3022BEFF-4780-46B0-A256-D8897F18153E}"/>
</file>

<file path=customXml/itemProps3.xml><?xml version="1.0" encoding="utf-8"?>
<ds:datastoreItem xmlns:ds="http://schemas.openxmlformats.org/officeDocument/2006/customXml" ds:itemID="{7951F271-0281-4035-9C5F-22A90FB3740A}"/>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Standard</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dalford</dc:creator>
  <cp:keywords/>
  <dc:description/>
  <cp:lastModifiedBy>Chan, Tiffany</cp:lastModifiedBy>
  <cp:revision>2</cp:revision>
  <cp:lastPrinted>2018-04-02T16:34:00Z</cp:lastPrinted>
  <dcterms:created xsi:type="dcterms:W3CDTF">2024-12-11T23:52:00Z</dcterms:created>
  <dcterms:modified xsi:type="dcterms:W3CDTF">2024-12-11T23:52:00Z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0x01010057FE12D641FF2445A10E1CEF35C61271</vt:lpwstr>
  </property>
</Properties>
</file>