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8B7AB" w14:textId="77777777" w:rsidR="00315518" w:rsidRPr="004D76FD" w:rsidRDefault="00315518" w:rsidP="005F483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76FD">
        <w:rPr>
          <w:rFonts w:ascii="Arial" w:hAnsi="Arial" w:cs="Arial"/>
          <w:b/>
          <w:bCs/>
          <w:sz w:val="28"/>
          <w:szCs w:val="28"/>
        </w:rPr>
        <w:t>Children’s Hospital and Health System</w:t>
      </w:r>
    </w:p>
    <w:p w14:paraId="5748B7AC" w14:textId="77777777" w:rsidR="00B6336E" w:rsidRPr="004D76FD" w:rsidRDefault="00315518" w:rsidP="005F483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D76FD">
        <w:rPr>
          <w:rFonts w:ascii="Arial" w:hAnsi="Arial" w:cs="Arial"/>
          <w:b/>
          <w:bCs/>
          <w:sz w:val="28"/>
          <w:szCs w:val="28"/>
        </w:rPr>
        <w:t>Administrative Policy and Procedure</w:t>
      </w:r>
    </w:p>
    <w:p w14:paraId="5748B7AD" w14:textId="77777777" w:rsidR="006D00DD" w:rsidRPr="004D76FD" w:rsidRDefault="006D00DD" w:rsidP="005F483B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748B7AE" w14:textId="77777777" w:rsidR="006D00DD" w:rsidRPr="004D76FD" w:rsidRDefault="006D00DD" w:rsidP="005F483B">
      <w:pPr>
        <w:pStyle w:val="Header"/>
        <w:tabs>
          <w:tab w:val="left" w:pos="10710"/>
        </w:tabs>
        <w:rPr>
          <w:rFonts w:ascii="Arial" w:hAnsi="Arial" w:cs="Arial"/>
          <w:sz w:val="18"/>
          <w:szCs w:val="18"/>
        </w:rPr>
      </w:pPr>
      <w:r w:rsidRPr="004D76FD">
        <w:rPr>
          <w:rFonts w:ascii="Arial" w:hAnsi="Arial" w:cs="Arial"/>
          <w:sz w:val="18"/>
          <w:szCs w:val="18"/>
        </w:rPr>
        <w:t xml:space="preserve">This policy </w:t>
      </w:r>
      <w:r w:rsidR="004D76FD">
        <w:rPr>
          <w:rFonts w:ascii="Arial" w:hAnsi="Arial" w:cs="Arial"/>
          <w:sz w:val="18"/>
          <w:szCs w:val="18"/>
        </w:rPr>
        <w:t>applies to the following entity</w:t>
      </w:r>
    </w:p>
    <w:p w14:paraId="5748B7AF" w14:textId="77777777" w:rsidR="006D00DD" w:rsidRPr="004D76FD" w:rsidRDefault="004D76FD" w:rsidP="005F483B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4D76FD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4"/>
              <w:default w:val="1"/>
            </w:checkBox>
          </w:ffData>
        </w:fldChar>
      </w:r>
      <w:r w:rsidRPr="004D76FD">
        <w:rPr>
          <w:rFonts w:ascii="Arial" w:hAnsi="Arial" w:cs="Arial"/>
          <w:sz w:val="18"/>
          <w:szCs w:val="18"/>
        </w:rPr>
        <w:instrText xml:space="preserve"> FORMCHECKBOX </w:instrText>
      </w:r>
      <w:r w:rsidR="005F483B">
        <w:rPr>
          <w:rFonts w:ascii="Arial" w:hAnsi="Arial" w:cs="Arial"/>
          <w:sz w:val="18"/>
          <w:szCs w:val="18"/>
        </w:rPr>
      </w:r>
      <w:r w:rsidR="005F483B">
        <w:rPr>
          <w:rFonts w:ascii="Arial" w:hAnsi="Arial" w:cs="Arial"/>
          <w:sz w:val="18"/>
          <w:szCs w:val="18"/>
        </w:rPr>
        <w:fldChar w:fldCharType="separate"/>
      </w:r>
      <w:r w:rsidRPr="004D76FD">
        <w:rPr>
          <w:rFonts w:ascii="Arial" w:hAnsi="Arial" w:cs="Arial"/>
          <w:sz w:val="18"/>
          <w:szCs w:val="18"/>
        </w:rPr>
        <w:fldChar w:fldCharType="end"/>
      </w:r>
      <w:r w:rsidR="006D00DD" w:rsidRPr="004D76FD">
        <w:rPr>
          <w:rFonts w:ascii="Arial" w:hAnsi="Arial" w:cs="Arial"/>
          <w:sz w:val="18"/>
          <w:szCs w:val="18"/>
        </w:rPr>
        <w:t xml:space="preserve"> </w:t>
      </w:r>
      <w:r w:rsidRPr="004D76FD">
        <w:rPr>
          <w:rFonts w:ascii="Arial" w:hAnsi="Arial" w:cs="Arial"/>
          <w:sz w:val="18"/>
          <w:szCs w:val="18"/>
        </w:rPr>
        <w:t>Children’s Hospital and Health System</w:t>
      </w:r>
    </w:p>
    <w:p w14:paraId="5748B7B0" w14:textId="77777777" w:rsidR="00315518" w:rsidRPr="004D76FD" w:rsidRDefault="00315518" w:rsidP="00315518">
      <w:pPr>
        <w:rPr>
          <w:rFonts w:ascii="Arial" w:hAnsi="Arial" w:cs="Arial"/>
          <w:b/>
          <w:bCs/>
          <w:sz w:val="28"/>
          <w:szCs w:val="28"/>
        </w:rPr>
      </w:pPr>
    </w:p>
    <w:p w14:paraId="5748B7B1" w14:textId="77777777" w:rsidR="00315518" w:rsidRPr="004D76FD" w:rsidRDefault="00315518" w:rsidP="004D76F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D76FD">
        <w:rPr>
          <w:rFonts w:ascii="Arial" w:hAnsi="Arial" w:cs="Arial"/>
          <w:b/>
          <w:bCs/>
          <w:sz w:val="28"/>
          <w:szCs w:val="28"/>
        </w:rPr>
        <w:t>SUBJECT:  Research Records -</w:t>
      </w:r>
      <w:r w:rsidR="008E08D3">
        <w:rPr>
          <w:rFonts w:ascii="Arial" w:hAnsi="Arial" w:cs="Arial"/>
          <w:b/>
          <w:bCs/>
          <w:sz w:val="28"/>
          <w:szCs w:val="28"/>
        </w:rPr>
        <w:t xml:space="preserve"> </w:t>
      </w:r>
      <w:r w:rsidRPr="004D76FD">
        <w:rPr>
          <w:rFonts w:ascii="Arial" w:hAnsi="Arial" w:cs="Arial"/>
          <w:b/>
          <w:bCs/>
          <w:sz w:val="28"/>
          <w:szCs w:val="28"/>
        </w:rPr>
        <w:t>Record Retention for Human Subjects</w:t>
      </w:r>
      <w:r w:rsidR="00D12950" w:rsidRPr="004D76FD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748B7B2" w14:textId="77777777" w:rsidR="00315518" w:rsidRDefault="00315518" w:rsidP="004D76FD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8B7B3" w14:textId="77777777" w:rsidR="005B76D8" w:rsidRPr="005F483B" w:rsidRDefault="005B76D8" w:rsidP="005F483B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5F483B">
        <w:rPr>
          <w:rFonts w:ascii="Arial" w:hAnsi="Arial" w:cs="Arial"/>
          <w:b/>
          <w:bCs/>
          <w:sz w:val="24"/>
          <w:szCs w:val="24"/>
          <w:u w:val="single"/>
        </w:rPr>
        <w:t>POLICY</w:t>
      </w:r>
    </w:p>
    <w:p w14:paraId="5748B7B4" w14:textId="77777777" w:rsidR="004D76FD" w:rsidRPr="005F483B" w:rsidRDefault="004D76FD" w:rsidP="005F483B">
      <w:pPr>
        <w:spacing w:after="0"/>
        <w:ind w:left="288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748B7B5" w14:textId="77777777" w:rsidR="000732C7" w:rsidRPr="005F483B" w:rsidRDefault="00315518" w:rsidP="005F483B">
      <w:pPr>
        <w:spacing w:after="0"/>
        <w:rPr>
          <w:rFonts w:ascii="Arial" w:hAnsi="Arial" w:cs="Arial"/>
          <w:bCs/>
        </w:rPr>
      </w:pPr>
      <w:r w:rsidRPr="005F483B">
        <w:rPr>
          <w:rFonts w:ascii="Arial" w:hAnsi="Arial" w:cs="Arial"/>
          <w:bCs/>
        </w:rPr>
        <w:t>To provide guidelines for retention, preservation, and responsible disposal of the Children’s Hospital and Health System, Inc. and its Affiliates (CHHS) human subject research records</w:t>
      </w:r>
      <w:r w:rsidR="005B76D8" w:rsidRPr="005F483B">
        <w:rPr>
          <w:rFonts w:ascii="Arial" w:hAnsi="Arial" w:cs="Arial"/>
          <w:bCs/>
        </w:rPr>
        <w:t xml:space="preserve">, </w:t>
      </w:r>
      <w:r w:rsidR="000732C7" w:rsidRPr="005F483B">
        <w:rPr>
          <w:rFonts w:ascii="Arial" w:hAnsi="Arial" w:cs="Arial"/>
          <w:bCs/>
        </w:rPr>
        <w:t>to:</w:t>
      </w:r>
    </w:p>
    <w:p w14:paraId="5748B7B6" w14:textId="77777777" w:rsidR="000732C7" w:rsidRPr="005F483B" w:rsidRDefault="000732C7" w:rsidP="005F483B">
      <w:pPr>
        <w:pStyle w:val="ListParagraph"/>
        <w:numPr>
          <w:ilvl w:val="0"/>
          <w:numId w:val="3"/>
        </w:numPr>
        <w:spacing w:after="0"/>
        <w:ind w:left="648"/>
        <w:rPr>
          <w:rFonts w:ascii="Arial" w:hAnsi="Arial" w:cs="Arial"/>
          <w:bCs/>
        </w:rPr>
      </w:pPr>
      <w:r w:rsidRPr="005F483B">
        <w:rPr>
          <w:rFonts w:ascii="Arial" w:hAnsi="Arial" w:cs="Arial"/>
          <w:bCs/>
        </w:rPr>
        <w:t xml:space="preserve">Promote compliance with federal requirements for human subject research record </w:t>
      </w:r>
      <w:r w:rsidR="00CA0CDD" w:rsidRPr="005F483B">
        <w:rPr>
          <w:rFonts w:ascii="Arial" w:hAnsi="Arial" w:cs="Arial"/>
          <w:bCs/>
        </w:rPr>
        <w:t>retention. Effectively</w:t>
      </w:r>
      <w:r w:rsidR="005B76D8" w:rsidRPr="005F483B">
        <w:rPr>
          <w:rFonts w:ascii="Arial" w:hAnsi="Arial" w:cs="Arial"/>
          <w:bCs/>
        </w:rPr>
        <w:t xml:space="preserve"> utilize s</w:t>
      </w:r>
      <w:r w:rsidRPr="005F483B">
        <w:rPr>
          <w:rFonts w:ascii="Arial" w:hAnsi="Arial" w:cs="Arial"/>
          <w:bCs/>
        </w:rPr>
        <w:t>torage space.</w:t>
      </w:r>
    </w:p>
    <w:p w14:paraId="5748B7B7" w14:textId="77777777" w:rsidR="000732C7" w:rsidRPr="005F483B" w:rsidRDefault="000732C7" w:rsidP="005F483B">
      <w:pPr>
        <w:pStyle w:val="ListParagraph"/>
        <w:numPr>
          <w:ilvl w:val="0"/>
          <w:numId w:val="3"/>
        </w:numPr>
        <w:spacing w:after="0"/>
        <w:ind w:left="648"/>
        <w:rPr>
          <w:rFonts w:ascii="Arial" w:hAnsi="Arial" w:cs="Arial"/>
          <w:bCs/>
        </w:rPr>
      </w:pPr>
      <w:r w:rsidRPr="005F483B">
        <w:rPr>
          <w:rFonts w:ascii="Arial" w:hAnsi="Arial" w:cs="Arial"/>
          <w:bCs/>
        </w:rPr>
        <w:t>Ensure the retained records can be retrieved in a timely manner.</w:t>
      </w:r>
    </w:p>
    <w:p w14:paraId="5748B7B8" w14:textId="77777777" w:rsidR="000732C7" w:rsidRPr="005F483B" w:rsidRDefault="000732C7" w:rsidP="005F483B">
      <w:pPr>
        <w:pStyle w:val="ListParagraph"/>
        <w:numPr>
          <w:ilvl w:val="0"/>
          <w:numId w:val="3"/>
        </w:numPr>
        <w:spacing w:after="0"/>
        <w:ind w:left="648"/>
        <w:rPr>
          <w:rFonts w:ascii="Arial" w:hAnsi="Arial" w:cs="Arial"/>
          <w:bCs/>
        </w:rPr>
      </w:pPr>
      <w:r w:rsidRPr="005F483B">
        <w:rPr>
          <w:rFonts w:ascii="Arial" w:hAnsi="Arial" w:cs="Arial"/>
          <w:bCs/>
        </w:rPr>
        <w:t>Ensure the appropriate and approved method of destruction of records.</w:t>
      </w:r>
    </w:p>
    <w:p w14:paraId="5748B7B9" w14:textId="77777777" w:rsidR="004D76FD" w:rsidRPr="005F483B" w:rsidRDefault="004D76FD" w:rsidP="005F483B">
      <w:pPr>
        <w:pStyle w:val="ListParagraph"/>
        <w:spacing w:after="0"/>
        <w:ind w:left="1080"/>
        <w:rPr>
          <w:rFonts w:ascii="Arial" w:hAnsi="Arial" w:cs="Arial"/>
          <w:bCs/>
          <w:sz w:val="24"/>
          <w:szCs w:val="24"/>
        </w:rPr>
      </w:pPr>
    </w:p>
    <w:p w14:paraId="5748B7BA" w14:textId="77777777" w:rsidR="00315518" w:rsidRPr="005F483B" w:rsidRDefault="004D76FD" w:rsidP="005F483B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  <w:r w:rsidRPr="005F483B">
        <w:rPr>
          <w:rFonts w:ascii="Arial" w:hAnsi="Arial" w:cs="Arial"/>
          <w:b/>
          <w:bCs/>
          <w:sz w:val="24"/>
          <w:szCs w:val="24"/>
          <w:u w:val="single"/>
        </w:rPr>
        <w:t>Background</w:t>
      </w:r>
    </w:p>
    <w:p w14:paraId="5748B7BB" w14:textId="77777777" w:rsidR="00CA541A" w:rsidRPr="005F483B" w:rsidRDefault="005C683E" w:rsidP="005F483B">
      <w:pPr>
        <w:spacing w:after="0"/>
        <w:rPr>
          <w:rFonts w:ascii="Arial" w:hAnsi="Arial" w:cs="Arial"/>
          <w:bCs/>
        </w:rPr>
      </w:pPr>
      <w:r w:rsidRPr="005F483B">
        <w:rPr>
          <w:rFonts w:ascii="Arial" w:hAnsi="Arial" w:cs="Arial"/>
        </w:rPr>
        <w:t xml:space="preserve">The principal investigator of an application approved by a CHW IRB (or where CHW </w:t>
      </w:r>
      <w:r w:rsidR="006A47B6" w:rsidRPr="005F483B">
        <w:rPr>
          <w:rFonts w:ascii="Arial" w:hAnsi="Arial" w:cs="Arial"/>
        </w:rPr>
        <w:t>chooses to rely on another IRB)</w:t>
      </w:r>
      <w:r w:rsidRPr="005F483B">
        <w:rPr>
          <w:rFonts w:ascii="Arial" w:hAnsi="Arial" w:cs="Arial"/>
        </w:rPr>
        <w:t xml:space="preserve"> is required to retain records </w:t>
      </w:r>
      <w:r w:rsidR="00A32472" w:rsidRPr="005F483B">
        <w:rPr>
          <w:rFonts w:ascii="Arial" w:hAnsi="Arial" w:cs="Arial"/>
        </w:rPr>
        <w:t xml:space="preserve">associated with a human subject research project. </w:t>
      </w:r>
      <w:r w:rsidR="000732C7" w:rsidRPr="005F483B">
        <w:rPr>
          <w:rFonts w:ascii="Arial" w:hAnsi="Arial" w:cs="Arial"/>
          <w:bCs/>
        </w:rPr>
        <w:t xml:space="preserve">All </w:t>
      </w:r>
      <w:r w:rsidR="00FF318B" w:rsidRPr="005F483B">
        <w:rPr>
          <w:rFonts w:ascii="Arial" w:hAnsi="Arial" w:cs="Arial"/>
          <w:bCs/>
        </w:rPr>
        <w:t xml:space="preserve">research data and materials </w:t>
      </w:r>
      <w:r w:rsidR="00CA541A" w:rsidRPr="005F483B">
        <w:rPr>
          <w:rFonts w:ascii="Arial" w:hAnsi="Arial" w:cs="Arial"/>
          <w:bCs/>
        </w:rPr>
        <w:t>must be retained for a period of at least 10 years from the date of the last entry in</w:t>
      </w:r>
      <w:r w:rsidR="00A32472" w:rsidRPr="005F483B">
        <w:rPr>
          <w:rFonts w:ascii="Arial" w:hAnsi="Arial" w:cs="Arial"/>
          <w:bCs/>
        </w:rPr>
        <w:t xml:space="preserve"> the record of the last subject </w:t>
      </w:r>
      <w:r w:rsidR="00CA541A" w:rsidRPr="005F483B">
        <w:rPr>
          <w:rFonts w:ascii="Arial" w:hAnsi="Arial" w:cs="Arial"/>
          <w:bCs/>
        </w:rPr>
        <w:t>enrolled in the study.</w:t>
      </w:r>
    </w:p>
    <w:p w14:paraId="5748B7BC" w14:textId="77777777" w:rsidR="000147CA" w:rsidRPr="005F483B" w:rsidRDefault="00CA541A" w:rsidP="005F483B">
      <w:pPr>
        <w:spacing w:after="0"/>
        <w:rPr>
          <w:rFonts w:ascii="Arial" w:hAnsi="Arial" w:cs="Arial"/>
          <w:bCs/>
        </w:rPr>
      </w:pPr>
      <w:r w:rsidRPr="005F483B">
        <w:rPr>
          <w:rFonts w:ascii="Arial" w:hAnsi="Arial" w:cs="Arial"/>
          <w:bCs/>
        </w:rPr>
        <w:t>Investigators may be required to retain research subject records for a longer period of time as required by investigator agreements, sponsors</w:t>
      </w:r>
      <w:r w:rsidR="003F26C5" w:rsidRPr="005F483B">
        <w:rPr>
          <w:rFonts w:ascii="Arial" w:hAnsi="Arial" w:cs="Arial"/>
          <w:bCs/>
        </w:rPr>
        <w:t xml:space="preserve">, pursuant to </w:t>
      </w:r>
      <w:r w:rsidRPr="005F483B">
        <w:rPr>
          <w:rFonts w:ascii="Arial" w:hAnsi="Arial" w:cs="Arial"/>
          <w:bCs/>
        </w:rPr>
        <w:t xml:space="preserve">terms of a grant, a federal agency, or agreements with the institution at which the study is conducted. </w:t>
      </w:r>
    </w:p>
    <w:p w14:paraId="5748B7BD" w14:textId="77777777" w:rsidR="004D76FD" w:rsidRPr="005F483B" w:rsidRDefault="004D76FD" w:rsidP="005F483B">
      <w:pPr>
        <w:spacing w:after="0"/>
        <w:rPr>
          <w:rFonts w:ascii="Arial" w:hAnsi="Arial" w:cs="Arial"/>
          <w:bCs/>
        </w:rPr>
      </w:pPr>
    </w:p>
    <w:p w14:paraId="5748B7BE" w14:textId="77777777" w:rsidR="004D76FD" w:rsidRPr="005F483B" w:rsidRDefault="004D76FD" w:rsidP="005F483B">
      <w:pPr>
        <w:spacing w:after="0"/>
        <w:rPr>
          <w:rFonts w:ascii="Arial" w:hAnsi="Arial" w:cs="Arial"/>
          <w:bCs/>
        </w:rPr>
      </w:pPr>
    </w:p>
    <w:p w14:paraId="5748B7BF" w14:textId="77777777" w:rsidR="00315518" w:rsidRPr="005F483B" w:rsidRDefault="002252E6" w:rsidP="005F483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F483B">
        <w:rPr>
          <w:rFonts w:ascii="Arial" w:hAnsi="Arial" w:cs="Arial"/>
          <w:b/>
          <w:sz w:val="24"/>
          <w:szCs w:val="24"/>
          <w:u w:val="single"/>
        </w:rPr>
        <w:t>PROCEDURE</w:t>
      </w:r>
    </w:p>
    <w:p w14:paraId="5748B7C0" w14:textId="77777777" w:rsidR="004D76FD" w:rsidRPr="005F483B" w:rsidRDefault="004D76FD" w:rsidP="005F483B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748B7C1" w14:textId="77777777" w:rsidR="00C622DD" w:rsidRPr="005F483B" w:rsidRDefault="00AE4BA2" w:rsidP="005F483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</w:rPr>
      </w:pPr>
      <w:r w:rsidRPr="005F483B">
        <w:rPr>
          <w:rFonts w:ascii="Arial" w:hAnsi="Arial" w:cs="Arial"/>
          <w:b/>
          <w:sz w:val="24"/>
          <w:szCs w:val="24"/>
          <w:u w:val="single"/>
        </w:rPr>
        <w:t xml:space="preserve">Maintenance of </w:t>
      </w:r>
      <w:r w:rsidR="002252E6" w:rsidRPr="005F483B">
        <w:rPr>
          <w:rFonts w:ascii="Arial" w:hAnsi="Arial" w:cs="Arial"/>
          <w:b/>
          <w:sz w:val="24"/>
          <w:szCs w:val="24"/>
          <w:u w:val="single"/>
        </w:rPr>
        <w:t>Records</w:t>
      </w:r>
    </w:p>
    <w:p w14:paraId="5748B7C2" w14:textId="77777777" w:rsidR="00C622DD" w:rsidRPr="005F483B" w:rsidRDefault="00C622DD" w:rsidP="005F483B">
      <w:pPr>
        <w:pStyle w:val="ListParagraph"/>
        <w:spacing w:after="0"/>
        <w:rPr>
          <w:rFonts w:ascii="Arial" w:hAnsi="Arial" w:cs="Arial"/>
          <w:b/>
          <w:sz w:val="24"/>
          <w:szCs w:val="24"/>
        </w:rPr>
      </w:pPr>
    </w:p>
    <w:p w14:paraId="5748B7C3" w14:textId="77777777" w:rsidR="00C622DD" w:rsidRPr="005F483B" w:rsidRDefault="00C622DD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Principal Investigators/research teams must retain the original copies of all records pertaining to research studies.</w:t>
      </w:r>
    </w:p>
    <w:p w14:paraId="5748B7C4" w14:textId="77777777" w:rsidR="00A7287B" w:rsidRPr="005F483B" w:rsidRDefault="002252E6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Principal Investigators/research teams are responsible for implementing a process to ensure that all records are retaine</w:t>
      </w:r>
      <w:r w:rsidR="00A7287B" w:rsidRPr="005F483B">
        <w:rPr>
          <w:rFonts w:ascii="Arial" w:hAnsi="Arial" w:cs="Arial"/>
        </w:rPr>
        <w:t>d in accordance with this policy, consistent with IRB documents,</w:t>
      </w:r>
      <w:r w:rsidRPr="005F483B">
        <w:rPr>
          <w:rFonts w:ascii="Arial" w:hAnsi="Arial" w:cs="Arial"/>
        </w:rPr>
        <w:t xml:space="preserve"> and for maintaining and safeguarding records applicable to research subjects. During the retention period the records must be protected from alteration, tampering, loss</w:t>
      </w:r>
      <w:r w:rsidR="00C622DD" w:rsidRPr="005F483B">
        <w:rPr>
          <w:rFonts w:ascii="Arial" w:hAnsi="Arial" w:cs="Arial"/>
        </w:rPr>
        <w:t>,</w:t>
      </w:r>
      <w:r w:rsidRPr="005F483B">
        <w:rPr>
          <w:rFonts w:ascii="Arial" w:hAnsi="Arial" w:cs="Arial"/>
        </w:rPr>
        <w:t xml:space="preserve"> and physical damage.</w:t>
      </w:r>
    </w:p>
    <w:p w14:paraId="5748B7C5" w14:textId="77777777" w:rsidR="002252E6" w:rsidRPr="005F483B" w:rsidRDefault="00A7287B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Access to research related data is limited to specific individuals listed as members of the research team with the CHW IRB or IRB of record.</w:t>
      </w:r>
      <w:r w:rsidR="002252E6" w:rsidRPr="005F483B">
        <w:rPr>
          <w:rFonts w:ascii="Arial" w:hAnsi="Arial" w:cs="Arial"/>
        </w:rPr>
        <w:t xml:space="preserve"> </w:t>
      </w:r>
    </w:p>
    <w:p w14:paraId="5748B7C6" w14:textId="77777777" w:rsidR="00E20188" w:rsidRPr="005F483B" w:rsidRDefault="00E20188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 xml:space="preserve">Electronic records must be protected by the </w:t>
      </w:r>
      <w:r w:rsidR="000147CA" w:rsidRPr="005F483B">
        <w:rPr>
          <w:rFonts w:ascii="Arial" w:hAnsi="Arial" w:cs="Arial"/>
        </w:rPr>
        <w:t>use of encryption</w:t>
      </w:r>
      <w:r w:rsidRPr="005F483B">
        <w:rPr>
          <w:rFonts w:ascii="Arial" w:hAnsi="Arial" w:cs="Arial"/>
        </w:rPr>
        <w:t xml:space="preserve">. </w:t>
      </w:r>
    </w:p>
    <w:p w14:paraId="5748B7C7" w14:textId="77777777" w:rsidR="00C622DD" w:rsidRPr="005F483B" w:rsidRDefault="00A7287B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lastRenderedPageBreak/>
        <w:t>If permitted by sponsor/grant, p</w:t>
      </w:r>
      <w:r w:rsidR="00C622DD" w:rsidRPr="005F483B">
        <w:rPr>
          <w:rFonts w:ascii="Arial" w:hAnsi="Arial" w:cs="Arial"/>
        </w:rPr>
        <w:t>aper record</w:t>
      </w:r>
      <w:r w:rsidR="000147CA" w:rsidRPr="005F483B">
        <w:rPr>
          <w:rFonts w:ascii="Arial" w:hAnsi="Arial" w:cs="Arial"/>
        </w:rPr>
        <w:t>s may be scanned and retained on/in</w:t>
      </w:r>
      <w:r w:rsidR="00C622DD" w:rsidRPr="005F483B">
        <w:rPr>
          <w:rFonts w:ascii="Arial" w:hAnsi="Arial" w:cs="Arial"/>
        </w:rPr>
        <w:t xml:space="preserve"> a</w:t>
      </w:r>
      <w:r w:rsidRPr="005F483B">
        <w:rPr>
          <w:rFonts w:ascii="Arial" w:hAnsi="Arial" w:cs="Arial"/>
        </w:rPr>
        <w:t>n encrypted</w:t>
      </w:r>
      <w:r w:rsidR="00E20188" w:rsidRPr="005F483B">
        <w:rPr>
          <w:rFonts w:ascii="Arial" w:hAnsi="Arial" w:cs="Arial"/>
        </w:rPr>
        <w:t xml:space="preserve"> device.</w:t>
      </w:r>
    </w:p>
    <w:p w14:paraId="5748B7C8" w14:textId="77777777" w:rsidR="002252E6" w:rsidRPr="005F483B" w:rsidRDefault="002252E6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Each principal investigator shall assess the status of re</w:t>
      </w:r>
      <w:r w:rsidR="00C622DD" w:rsidRPr="005F483B">
        <w:rPr>
          <w:rFonts w:ascii="Arial" w:hAnsi="Arial" w:cs="Arial"/>
        </w:rPr>
        <w:t xml:space="preserve">tained records and either retain on-site, store off-site or destroy records when appropriate. </w:t>
      </w:r>
    </w:p>
    <w:p w14:paraId="5748B7C9" w14:textId="77777777" w:rsidR="000147CA" w:rsidRPr="005F483B" w:rsidRDefault="000147CA" w:rsidP="005F483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Off-site storage must utilize a contracted record retention facility (Iron Mountain), which agrees to control, protect, and maintain the confidentiality of the records.</w:t>
      </w:r>
    </w:p>
    <w:p w14:paraId="5748B7CA" w14:textId="77777777" w:rsidR="001F2C45" w:rsidRPr="005F483B" w:rsidRDefault="001F2C45" w:rsidP="005F483B">
      <w:pPr>
        <w:pStyle w:val="ListParagraph"/>
        <w:spacing w:after="0"/>
        <w:ind w:left="360"/>
        <w:rPr>
          <w:rFonts w:ascii="Arial" w:hAnsi="Arial" w:cs="Arial"/>
          <w:sz w:val="24"/>
          <w:szCs w:val="24"/>
        </w:rPr>
      </w:pPr>
    </w:p>
    <w:p w14:paraId="5748B7CB" w14:textId="77777777" w:rsidR="004D76FD" w:rsidRPr="005F483B" w:rsidRDefault="001F2C45" w:rsidP="005F483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F483B">
        <w:rPr>
          <w:rFonts w:ascii="Arial" w:hAnsi="Arial" w:cs="Arial"/>
          <w:b/>
          <w:sz w:val="24"/>
          <w:szCs w:val="24"/>
          <w:u w:val="single"/>
        </w:rPr>
        <w:t>Record Destruction</w:t>
      </w:r>
    </w:p>
    <w:p w14:paraId="5748B7CC" w14:textId="77777777" w:rsidR="004D76FD" w:rsidRPr="005F483B" w:rsidRDefault="004D76FD" w:rsidP="005F483B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</w:p>
    <w:p w14:paraId="5748B7CD" w14:textId="77777777" w:rsidR="000A06AA" w:rsidRPr="005F483B" w:rsidRDefault="000A06AA" w:rsidP="005F483B">
      <w:pPr>
        <w:pStyle w:val="ListParagraph"/>
        <w:spacing w:after="0"/>
        <w:ind w:left="360"/>
        <w:rPr>
          <w:rFonts w:ascii="Arial" w:hAnsi="Arial" w:cs="Arial"/>
          <w:b/>
          <w:sz w:val="24"/>
          <w:szCs w:val="24"/>
          <w:u w:val="single"/>
        </w:rPr>
      </w:pPr>
      <w:r w:rsidRPr="005F483B">
        <w:rPr>
          <w:rFonts w:ascii="Arial" w:hAnsi="Arial" w:cs="Arial"/>
        </w:rPr>
        <w:t>Research records and files must be disposed of in a manne</w:t>
      </w:r>
      <w:r w:rsidR="004D76FD" w:rsidRPr="005F483B">
        <w:rPr>
          <w:rFonts w:ascii="Arial" w:hAnsi="Arial" w:cs="Arial"/>
        </w:rPr>
        <w:t xml:space="preserve">r that ensures research subject </w:t>
      </w:r>
      <w:r w:rsidRPr="005F483B">
        <w:rPr>
          <w:rFonts w:ascii="Arial" w:hAnsi="Arial" w:cs="Arial"/>
        </w:rPr>
        <w:t>information cannot be recovered or reconstructed.</w:t>
      </w:r>
    </w:p>
    <w:p w14:paraId="5748B7CE" w14:textId="77777777" w:rsidR="00BA2E6F" w:rsidRPr="005F483B" w:rsidRDefault="00FD0004" w:rsidP="005F483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The</w:t>
      </w:r>
      <w:r w:rsidR="00BA2E6F" w:rsidRPr="005F483B">
        <w:rPr>
          <w:rFonts w:ascii="Arial" w:hAnsi="Arial" w:cs="Arial"/>
        </w:rPr>
        <w:t xml:space="preserve"> suggested method for destruction of paper research records is shredding.</w:t>
      </w:r>
      <w:r w:rsidR="00AE4BA2" w:rsidRPr="005F483B">
        <w:rPr>
          <w:rFonts w:ascii="Arial" w:hAnsi="Arial" w:cs="Arial"/>
        </w:rPr>
        <w:t xml:space="preserve"> </w:t>
      </w:r>
    </w:p>
    <w:p w14:paraId="5748B7CF" w14:textId="77777777" w:rsidR="00FD0004" w:rsidRPr="005F483B" w:rsidRDefault="00FD0004" w:rsidP="005F483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>An IronKey encrypted flash drive, provided by CHHS, can be securely erased and prepared for re-use by the CHW IS Service Center.</w:t>
      </w:r>
    </w:p>
    <w:p w14:paraId="5748B7D0" w14:textId="77777777" w:rsidR="00AE4BA2" w:rsidRPr="005F483B" w:rsidRDefault="00FD0004" w:rsidP="005F483B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</w:rPr>
      </w:pPr>
      <w:r w:rsidRPr="005F483B">
        <w:rPr>
          <w:rFonts w:ascii="Arial" w:hAnsi="Arial" w:cs="Arial"/>
        </w:rPr>
        <w:t xml:space="preserve"> </w:t>
      </w:r>
      <w:r w:rsidR="00AE4BA2" w:rsidRPr="005F483B">
        <w:rPr>
          <w:rFonts w:ascii="Arial" w:hAnsi="Arial" w:cs="Arial"/>
        </w:rPr>
        <w:t>Media requiring disposal can be turned in to the CHW IS Service Center for secure disposal</w:t>
      </w:r>
      <w:r w:rsidR="00A7287B" w:rsidRPr="005F483B">
        <w:rPr>
          <w:rFonts w:ascii="Arial" w:hAnsi="Arial" w:cs="Arial"/>
        </w:rPr>
        <w:t>.</w:t>
      </w:r>
    </w:p>
    <w:p w14:paraId="5748B7D1" w14:textId="77777777" w:rsidR="00A32472" w:rsidRPr="005F483B" w:rsidRDefault="00A32472" w:rsidP="005F483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748B7D2" w14:textId="77777777" w:rsidR="00AE4BA2" w:rsidRPr="005F483B" w:rsidRDefault="00AE4BA2" w:rsidP="005F483B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5F483B">
        <w:rPr>
          <w:rFonts w:ascii="Arial" w:hAnsi="Arial" w:cs="Arial"/>
          <w:b/>
          <w:sz w:val="24"/>
          <w:szCs w:val="24"/>
          <w:u w:val="single"/>
        </w:rPr>
        <w:t>Retention logs</w:t>
      </w:r>
    </w:p>
    <w:p w14:paraId="5748B7D3" w14:textId="77777777" w:rsidR="00AE4BA2" w:rsidRPr="005F483B" w:rsidRDefault="00AE4BA2" w:rsidP="005F483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748B7D4" w14:textId="77777777" w:rsidR="00AE4BA2" w:rsidRPr="005F483B" w:rsidRDefault="00AE4BA2" w:rsidP="005F483B">
      <w:pPr>
        <w:pStyle w:val="ListParagraph"/>
        <w:spacing w:after="0"/>
        <w:ind w:left="360"/>
        <w:rPr>
          <w:rFonts w:ascii="Arial" w:hAnsi="Arial" w:cs="Arial"/>
        </w:rPr>
      </w:pPr>
      <w:r w:rsidRPr="005F483B">
        <w:rPr>
          <w:rFonts w:ascii="Arial" w:hAnsi="Arial" w:cs="Arial"/>
        </w:rPr>
        <w:t>It is suggested that Principal Investigators/research teams maintain a log of record retention dates of storage</w:t>
      </w:r>
      <w:r w:rsidR="00C110F2" w:rsidRPr="005F483B">
        <w:rPr>
          <w:rFonts w:ascii="Arial" w:hAnsi="Arial" w:cs="Arial"/>
        </w:rPr>
        <w:t>, location of storage,</w:t>
      </w:r>
      <w:r w:rsidRPr="005F483B">
        <w:rPr>
          <w:rFonts w:ascii="Arial" w:hAnsi="Arial" w:cs="Arial"/>
        </w:rPr>
        <w:t xml:space="preserve"> and dates of re</w:t>
      </w:r>
      <w:r w:rsidR="00C110F2" w:rsidRPr="005F483B">
        <w:rPr>
          <w:rFonts w:ascii="Arial" w:hAnsi="Arial" w:cs="Arial"/>
        </w:rPr>
        <w:t xml:space="preserve">cord destruction per research protocol. </w:t>
      </w:r>
      <w:r w:rsidRPr="005F483B">
        <w:rPr>
          <w:rFonts w:ascii="Arial" w:hAnsi="Arial" w:cs="Arial"/>
        </w:rPr>
        <w:t xml:space="preserve"> </w:t>
      </w:r>
    </w:p>
    <w:p w14:paraId="5748B7D5" w14:textId="77777777" w:rsidR="00AE4BA2" w:rsidRPr="005F483B" w:rsidRDefault="00AE4BA2" w:rsidP="005F483B">
      <w:pPr>
        <w:spacing w:after="0"/>
        <w:ind w:left="360"/>
        <w:rPr>
          <w:rFonts w:ascii="Arial" w:hAnsi="Arial" w:cs="Arial"/>
          <w:b/>
          <w:u w:val="single"/>
        </w:rPr>
      </w:pPr>
    </w:p>
    <w:p w14:paraId="5748B7D6" w14:textId="77777777" w:rsidR="00E20188" w:rsidRPr="005F483B" w:rsidRDefault="00E20188" w:rsidP="005F483B">
      <w:pPr>
        <w:pStyle w:val="ListParagraph"/>
        <w:spacing w:after="0"/>
        <w:ind w:left="360"/>
        <w:rPr>
          <w:rFonts w:ascii="Arial" w:hAnsi="Arial" w:cs="Arial"/>
          <w:b/>
          <w:u w:val="single"/>
        </w:rPr>
      </w:pPr>
      <w:r w:rsidRPr="005F483B">
        <w:rPr>
          <w:rFonts w:ascii="Arial" w:hAnsi="Arial" w:cs="Arial"/>
          <w:b/>
          <w:u w:val="single"/>
        </w:rPr>
        <w:t>Related regulations</w:t>
      </w:r>
    </w:p>
    <w:p w14:paraId="5748B7D7" w14:textId="77777777" w:rsidR="000726AC" w:rsidRPr="005F483B" w:rsidRDefault="000726AC" w:rsidP="005F483B">
      <w:pPr>
        <w:pStyle w:val="ListParagraph"/>
        <w:spacing w:after="0"/>
        <w:ind w:left="360"/>
        <w:rPr>
          <w:rFonts w:ascii="Arial" w:hAnsi="Arial" w:cs="Arial"/>
          <w:b/>
        </w:rPr>
      </w:pPr>
      <w:r w:rsidRPr="005F483B">
        <w:rPr>
          <w:rFonts w:ascii="Arial" w:hAnsi="Arial" w:cs="Arial"/>
          <w:b/>
        </w:rPr>
        <w:t xml:space="preserve">21 CFR 312.62  </w:t>
      </w:r>
      <w:hyperlink r:id="rId11" w:history="1">
        <w:r w:rsidRPr="005F483B">
          <w:rPr>
            <w:rStyle w:val="Hyperlink"/>
            <w:rFonts w:ascii="Arial" w:hAnsi="Arial" w:cs="Arial"/>
            <w:b/>
          </w:rPr>
          <w:t>http://www.accessdata.fda.gov/scripts/cdrh/cfdocs/cfcfr/CFRSearch.cfm?fr=312.62</w:t>
        </w:r>
      </w:hyperlink>
    </w:p>
    <w:p w14:paraId="5748B7D8" w14:textId="77777777" w:rsidR="006310ED" w:rsidRPr="005F483B" w:rsidRDefault="002C0528" w:rsidP="005F483B">
      <w:pPr>
        <w:pStyle w:val="ListParagraph"/>
        <w:spacing w:after="0"/>
        <w:ind w:left="360"/>
        <w:rPr>
          <w:rFonts w:ascii="Arial" w:hAnsi="Arial" w:cs="Arial"/>
          <w:b/>
        </w:rPr>
      </w:pPr>
      <w:r w:rsidRPr="005F483B">
        <w:rPr>
          <w:rFonts w:ascii="Arial" w:hAnsi="Arial" w:cs="Arial"/>
          <w:b/>
        </w:rPr>
        <w:t xml:space="preserve">21 CFR 812.140(a) </w:t>
      </w:r>
    </w:p>
    <w:p w14:paraId="5748B7D9" w14:textId="77777777" w:rsidR="006310ED" w:rsidRPr="005F483B" w:rsidRDefault="006310ED" w:rsidP="005F483B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5748B7DA" w14:textId="77777777" w:rsidR="002C0528" w:rsidRPr="005F483B" w:rsidRDefault="005F483B" w:rsidP="005F483B">
      <w:pPr>
        <w:pStyle w:val="ListParagraph"/>
        <w:spacing w:after="0"/>
        <w:ind w:left="360"/>
        <w:rPr>
          <w:rFonts w:ascii="Arial" w:hAnsi="Arial" w:cs="Arial"/>
          <w:b/>
        </w:rPr>
      </w:pPr>
      <w:hyperlink r:id="rId12" w:history="1">
        <w:r w:rsidR="002C0528" w:rsidRPr="005F483B">
          <w:rPr>
            <w:rStyle w:val="Hyperlink"/>
            <w:rFonts w:ascii="Arial" w:hAnsi="Arial" w:cs="Arial"/>
            <w:b/>
          </w:rPr>
          <w:t>http://www.accessdata.fda.gov/scripts/cdrh/cfdocs/cfcfr/CFRSearch.cfm?fr=812.140</w:t>
        </w:r>
      </w:hyperlink>
    </w:p>
    <w:p w14:paraId="5748B7DB" w14:textId="77777777" w:rsidR="000726AC" w:rsidRPr="005F483B" w:rsidRDefault="000726AC" w:rsidP="005F483B">
      <w:pPr>
        <w:pStyle w:val="ListParagraph"/>
        <w:spacing w:after="0"/>
        <w:ind w:left="360"/>
        <w:rPr>
          <w:rStyle w:val="Hyperlink"/>
          <w:rFonts w:ascii="Arial" w:hAnsi="Arial" w:cs="Arial"/>
          <w:b/>
        </w:rPr>
      </w:pPr>
      <w:r w:rsidRPr="005F483B">
        <w:rPr>
          <w:rFonts w:ascii="Arial" w:hAnsi="Arial" w:cs="Arial"/>
          <w:b/>
        </w:rPr>
        <w:t xml:space="preserve">OHRP FAQ </w:t>
      </w:r>
      <w:hyperlink r:id="rId13" w:history="1">
        <w:r w:rsidRPr="005F483B">
          <w:rPr>
            <w:rStyle w:val="Hyperlink"/>
            <w:rFonts w:ascii="Arial" w:hAnsi="Arial" w:cs="Arial"/>
            <w:b/>
          </w:rPr>
          <w:t>http://www.hhs.gov/ohrp/policy/faq/investigator-responsibilities/records-should-investigators-keep.html</w:t>
        </w:r>
      </w:hyperlink>
    </w:p>
    <w:p w14:paraId="5748B7DC" w14:textId="77777777" w:rsidR="006310ED" w:rsidRPr="005F483B" w:rsidRDefault="006310ED" w:rsidP="005F483B">
      <w:pPr>
        <w:pStyle w:val="ListParagraph"/>
        <w:spacing w:after="0"/>
        <w:ind w:left="360"/>
        <w:rPr>
          <w:rFonts w:ascii="Arial" w:hAnsi="Arial" w:cs="Arial"/>
          <w:b/>
        </w:rPr>
      </w:pPr>
    </w:p>
    <w:p w14:paraId="5748B7DD" w14:textId="77777777" w:rsidR="006A47B6" w:rsidRPr="005F483B" w:rsidRDefault="00372005" w:rsidP="005F483B">
      <w:pPr>
        <w:pStyle w:val="ListParagraph"/>
        <w:spacing w:after="0"/>
        <w:ind w:left="360"/>
        <w:rPr>
          <w:rFonts w:ascii="Arial" w:hAnsi="Arial" w:cs="Arial"/>
          <w:b/>
          <w:bCs/>
        </w:rPr>
      </w:pPr>
      <w:r w:rsidRPr="005F483B">
        <w:rPr>
          <w:rFonts w:ascii="Arial" w:hAnsi="Arial" w:cs="Arial"/>
          <w:b/>
        </w:rPr>
        <w:t xml:space="preserve">ICH E6- Good Clinical Practice </w:t>
      </w:r>
      <w:hyperlink r:id="rId14" w:history="1">
        <w:r w:rsidRPr="005F483B">
          <w:rPr>
            <w:rStyle w:val="Hyperlink"/>
            <w:rFonts w:ascii="Arial" w:hAnsi="Arial" w:cs="Arial"/>
            <w:b/>
          </w:rPr>
          <w:t>http://www.fda.gov/downloads/Drugs/GuidanceComplianceRegulatoryInformation/Guidances/ucm073122.pdf</w:t>
        </w:r>
      </w:hyperlink>
      <w:hyperlink r:id="rId15" w:tgtFrame="_blank" w:history="1">
        <w:r w:rsidR="006A47B6" w:rsidRPr="005F483B">
          <w:rPr>
            <w:rFonts w:ascii="Arial" w:hAnsi="Arial" w:cs="Arial"/>
            <w:bdr w:val="none" w:sz="0" w:space="0" w:color="auto" w:frame="1"/>
          </w:rPr>
          <w:t>45 CFR 164.530(j)</w:t>
        </w:r>
        <w:r w:rsidR="00A32472" w:rsidRPr="005F483B">
          <w:rPr>
            <w:rFonts w:ascii="Arial" w:hAnsi="Arial" w:cs="Arial"/>
            <w:bdr w:val="none" w:sz="0" w:space="0" w:color="auto" w:frame="1"/>
          </w:rPr>
          <w:t xml:space="preserve"> </w:t>
        </w:r>
        <w:r w:rsidR="006A47B6" w:rsidRPr="005F483B">
          <w:rPr>
            <w:rFonts w:ascii="Arial" w:hAnsi="Arial" w:cs="Arial"/>
            <w:bdr w:val="none" w:sz="0" w:space="0" w:color="auto" w:frame="1"/>
          </w:rPr>
          <w:t>(1)</w:t>
        </w:r>
        <w:r w:rsidR="006A47B6" w:rsidRPr="005F483B">
          <w:rPr>
            <w:rStyle w:val="element-invisible1"/>
            <w:rFonts w:ascii="Arial" w:hAnsi="Arial" w:cs="Arial"/>
            <w:color w:val="339999"/>
            <w:sz w:val="22"/>
            <w:szCs w:val="22"/>
          </w:rPr>
          <w:t xml:space="preserve"> </w:t>
        </w:r>
      </w:hyperlink>
      <w:r w:rsidR="006A47B6" w:rsidRPr="005F483B">
        <w:rPr>
          <w:rFonts w:ascii="Arial" w:hAnsi="Arial" w:cs="Arial"/>
        </w:rPr>
        <w:t xml:space="preserve">HIPAA requires a </w:t>
      </w:r>
      <w:r w:rsidR="006A47B6" w:rsidRPr="005F483B">
        <w:rPr>
          <w:rStyle w:val="Strong"/>
          <w:rFonts w:ascii="Arial" w:hAnsi="Arial" w:cs="Arial"/>
          <w:b w:val="0"/>
          <w:sz w:val="22"/>
          <w:szCs w:val="22"/>
        </w:rPr>
        <w:t>6 year retention period</w:t>
      </w:r>
      <w:r w:rsidR="006A47B6" w:rsidRPr="005F483B">
        <w:rPr>
          <w:rFonts w:ascii="Arial" w:hAnsi="Arial" w:cs="Arial"/>
          <w:b/>
          <w:bCs/>
        </w:rPr>
        <w:t xml:space="preserve"> </w:t>
      </w:r>
    </w:p>
    <w:p w14:paraId="5748B7DE" w14:textId="77777777" w:rsidR="006310ED" w:rsidRPr="005F483B" w:rsidRDefault="006310ED" w:rsidP="005F483B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5748B7DF" w14:textId="77777777" w:rsidR="006A47B6" w:rsidRPr="005F483B" w:rsidRDefault="005F483B" w:rsidP="005F483B">
      <w:pPr>
        <w:pStyle w:val="NormalWeb"/>
        <w:shd w:val="clear" w:color="auto" w:fill="FFFFFF"/>
        <w:spacing w:line="276" w:lineRule="auto"/>
        <w:ind w:left="360"/>
        <w:rPr>
          <w:rFonts w:ascii="Arial" w:hAnsi="Arial" w:cs="Arial"/>
          <w:b/>
          <w:bCs/>
          <w:sz w:val="22"/>
          <w:szCs w:val="22"/>
        </w:rPr>
      </w:pPr>
      <w:hyperlink r:id="rId16" w:anchor="46.115" w:tgtFrame="_blank" w:history="1">
        <w:r w:rsidR="006A47B6" w:rsidRPr="005F483B">
          <w:rPr>
            <w:rFonts w:ascii="Arial" w:hAnsi="Arial" w:cs="Arial"/>
            <w:sz w:val="22"/>
            <w:szCs w:val="22"/>
            <w:bdr w:val="none" w:sz="0" w:space="0" w:color="auto" w:frame="1"/>
          </w:rPr>
          <w:t>45 CFR 46.115(b</w:t>
        </w:r>
        <w:r w:rsidR="006A47B6" w:rsidRPr="005F483B">
          <w:rPr>
            <w:rFonts w:ascii="Arial" w:hAnsi="Arial" w:cs="Arial"/>
            <w:sz w:val="22"/>
            <w:szCs w:val="22"/>
          </w:rPr>
          <w:t>)</w:t>
        </w:r>
      </w:hyperlink>
      <w:r w:rsidR="006A47B6" w:rsidRPr="005F483B">
        <w:rPr>
          <w:rFonts w:ascii="Arial" w:hAnsi="Arial" w:cs="Arial"/>
          <w:sz w:val="22"/>
          <w:szCs w:val="22"/>
        </w:rPr>
        <w:t xml:space="preserve"> and </w:t>
      </w:r>
      <w:hyperlink r:id="rId17" w:tgtFrame="_blank" w:history="1">
        <w:r w:rsidR="006A47B6" w:rsidRPr="005F483B">
          <w:rPr>
            <w:rFonts w:ascii="Arial" w:hAnsi="Arial" w:cs="Arial"/>
            <w:sz w:val="22"/>
            <w:szCs w:val="22"/>
            <w:bdr w:val="none" w:sz="0" w:space="0" w:color="auto" w:frame="1"/>
          </w:rPr>
          <w:t>21 CFR 56.115(b)</w:t>
        </w:r>
        <w:r w:rsidR="006A47B6" w:rsidRPr="005F483B">
          <w:rPr>
            <w:rFonts w:ascii="Arial" w:hAnsi="Arial" w:cs="Arial"/>
            <w:sz w:val="22"/>
            <w:szCs w:val="22"/>
          </w:rPr>
          <w:t>)</w:t>
        </w:r>
      </w:hyperlink>
      <w:r w:rsidR="006A47B6" w:rsidRPr="005F483B">
        <w:rPr>
          <w:rFonts w:ascii="Arial" w:hAnsi="Arial" w:cs="Arial"/>
          <w:sz w:val="22"/>
          <w:szCs w:val="22"/>
        </w:rPr>
        <w:t xml:space="preserve"> require that all IRB records be retained for at least 3 years, and records relating to research which is conducted be retained for at least 3 years after completion of the research. All records must be accessible for inspection and copying by authorized representatives of HHS or the FDA at reasonable times and in a reasonable manner.</w:t>
      </w:r>
      <w:bookmarkStart w:id="0" w:name="_GoBack"/>
      <w:bookmarkEnd w:id="0"/>
    </w:p>
    <w:p w14:paraId="5748B7E0" w14:textId="77777777" w:rsidR="006A47B6" w:rsidRPr="004D76FD" w:rsidRDefault="006A47B6" w:rsidP="005F483B">
      <w:pPr>
        <w:shd w:val="clear" w:color="auto" w:fill="FFFFFF"/>
        <w:spacing w:after="0"/>
        <w:ind w:left="432"/>
        <w:textAlignment w:val="baseline"/>
        <w:rPr>
          <w:rFonts w:ascii="Arial" w:eastAsia="Times New Roman" w:hAnsi="Arial" w:cs="Arial"/>
          <w:b/>
          <w:bCs/>
        </w:rPr>
      </w:pPr>
    </w:p>
    <w:p w14:paraId="5748B7E1" w14:textId="77777777" w:rsidR="006A47B6" w:rsidRPr="004D76FD" w:rsidRDefault="006A47B6" w:rsidP="005F483B">
      <w:pPr>
        <w:pStyle w:val="ListParagraph"/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</w:rPr>
      </w:pPr>
      <w:r w:rsidRPr="004D76FD">
        <w:rPr>
          <w:rFonts w:ascii="Arial" w:eastAsia="Times New Roman" w:hAnsi="Arial" w:cs="Arial"/>
          <w:bCs/>
        </w:rPr>
        <w:lastRenderedPageBreak/>
        <w:t>Federal Regulatory Requirements for Recipients of Grants</w:t>
      </w:r>
      <w:r w:rsidRPr="004D76FD">
        <w:rPr>
          <w:rFonts w:ascii="Arial" w:eastAsia="Times New Roman" w:hAnsi="Arial" w:cs="Arial"/>
        </w:rPr>
        <w:t>: OMB Circular A-110, and in various regulations includ</w:t>
      </w:r>
      <w:r w:rsidR="00A32472" w:rsidRPr="004D76FD">
        <w:rPr>
          <w:rFonts w:ascii="Arial" w:eastAsia="Times New Roman" w:hAnsi="Arial" w:cs="Arial"/>
        </w:rPr>
        <w:t>ing 45 CFR 74 and 45 CFR 92. O</w:t>
      </w:r>
      <w:r w:rsidRPr="004D76FD">
        <w:rPr>
          <w:rFonts w:ascii="Arial" w:eastAsia="Times New Roman" w:hAnsi="Arial" w:cs="Arial"/>
        </w:rPr>
        <w:t xml:space="preserve">ther records pertinent to an award includes all </w:t>
      </w:r>
      <w:r w:rsidR="00A32472" w:rsidRPr="004D76FD">
        <w:rPr>
          <w:rFonts w:ascii="Arial" w:eastAsia="Times New Roman" w:hAnsi="Arial" w:cs="Arial"/>
        </w:rPr>
        <w:t>research-related study records.</w:t>
      </w:r>
      <w:r w:rsidRPr="004D76FD">
        <w:rPr>
          <w:rFonts w:ascii="Arial" w:eastAsia="Times New Roman" w:hAnsi="Arial" w:cs="Arial"/>
        </w:rPr>
        <w:t xml:space="preserve">The </w:t>
      </w:r>
      <w:r w:rsidRPr="004D76FD">
        <w:rPr>
          <w:rFonts w:ascii="Arial" w:eastAsia="Times New Roman" w:hAnsi="Arial" w:cs="Arial"/>
          <w:bCs/>
        </w:rPr>
        <w:t>minimum retention period is 3 years</w:t>
      </w:r>
      <w:r w:rsidRPr="004D76FD">
        <w:rPr>
          <w:rFonts w:ascii="Arial" w:eastAsia="Times New Roman" w:hAnsi="Arial" w:cs="Arial"/>
        </w:rPr>
        <w:t xml:space="preserve"> but individual granting agencies can require longer periods of up to 7 years. Investigators must comply with the requirements of the granting agency.</w:t>
      </w:r>
    </w:p>
    <w:p w14:paraId="5748B7E2" w14:textId="77777777" w:rsidR="00A32472" w:rsidRPr="004D76FD" w:rsidRDefault="00A32472" w:rsidP="005F483B">
      <w:pPr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</w:rPr>
      </w:pPr>
    </w:p>
    <w:p w14:paraId="5748B7E3" w14:textId="77777777" w:rsidR="006A47B6" w:rsidRPr="004D76FD" w:rsidRDefault="005F483B" w:rsidP="005F483B">
      <w:pPr>
        <w:pStyle w:val="ListParagraph"/>
        <w:shd w:val="clear" w:color="auto" w:fill="FFFFFF"/>
        <w:spacing w:after="0"/>
        <w:ind w:left="360"/>
        <w:textAlignment w:val="baseline"/>
        <w:rPr>
          <w:rFonts w:ascii="Arial" w:eastAsia="Times New Roman" w:hAnsi="Arial" w:cs="Arial"/>
        </w:rPr>
      </w:pPr>
      <w:hyperlink r:id="rId18" w:tgtFrame="_blank" w:history="1">
        <w:r w:rsidR="006A47B6" w:rsidRPr="004D76FD">
          <w:rPr>
            <w:rFonts w:ascii="Arial" w:eastAsia="Times New Roman" w:hAnsi="Arial" w:cs="Arial"/>
            <w:bdr w:val="none" w:sz="0" w:space="0" w:color="auto" w:frame="1"/>
          </w:rPr>
          <w:t>42 CFR 93</w:t>
        </w:r>
      </w:hyperlink>
      <w:r w:rsidR="006A47B6" w:rsidRPr="004D76FD">
        <w:rPr>
          <w:rFonts w:ascii="Arial" w:eastAsia="Times New Roman" w:hAnsi="Arial" w:cs="Arial"/>
        </w:rPr>
        <w:t>(Public Health Service Policies on Research Misconduct) specifies evidentiary retention requirements for research records that are part of a research misconduct investigation.</w:t>
      </w:r>
    </w:p>
    <w:p w14:paraId="5748B7E4" w14:textId="77777777" w:rsidR="00372005" w:rsidRPr="00A32472" w:rsidRDefault="00372005" w:rsidP="005F483B">
      <w:pPr>
        <w:spacing w:after="0"/>
        <w:rPr>
          <w:rFonts w:ascii="Arial" w:hAnsi="Arial" w:cs="Arial"/>
          <w:b/>
          <w:sz w:val="24"/>
          <w:szCs w:val="24"/>
        </w:rPr>
      </w:pPr>
    </w:p>
    <w:p w14:paraId="5748B7E5" w14:textId="77777777" w:rsidR="000726AC" w:rsidRPr="00A32472" w:rsidRDefault="000726AC" w:rsidP="005F483B">
      <w:pPr>
        <w:spacing w:after="0"/>
        <w:rPr>
          <w:rFonts w:ascii="Arial" w:hAnsi="Arial" w:cs="Arial"/>
          <w:b/>
          <w:sz w:val="24"/>
          <w:szCs w:val="24"/>
        </w:rPr>
      </w:pPr>
    </w:p>
    <w:p w14:paraId="5748B7E6" w14:textId="77777777" w:rsidR="005953DE" w:rsidRPr="0096432A" w:rsidRDefault="004D76FD" w:rsidP="005F483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748B7E7" w14:textId="77777777" w:rsidR="000726AC" w:rsidRPr="00A32472" w:rsidRDefault="000726AC" w:rsidP="005F483B">
      <w:pPr>
        <w:spacing w:after="0"/>
        <w:rPr>
          <w:rFonts w:ascii="Arial" w:hAnsi="Arial" w:cs="Arial"/>
          <w:b/>
          <w:sz w:val="24"/>
          <w:szCs w:val="24"/>
        </w:rPr>
      </w:pPr>
    </w:p>
    <w:p w14:paraId="5748B7E8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 w:rsidRPr="00CA0CDD">
        <w:rPr>
          <w:rFonts w:ascii="Arial" w:eastAsia="Times New Roman" w:hAnsi="Arial" w:cs="Arial"/>
        </w:rPr>
        <w:tab/>
      </w:r>
    </w:p>
    <w:p w14:paraId="5748B7E9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  <w:t>Approved by:</w:t>
      </w:r>
    </w:p>
    <w:p w14:paraId="5748B7EA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  <w:u w:val="single"/>
        </w:rPr>
      </w:pPr>
    </w:p>
    <w:p w14:paraId="5748B7EB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  <w:noProof/>
        </w:rPr>
        <w:drawing>
          <wp:inline distT="0" distB="0" distL="0" distR="0" wp14:anchorId="5748B7F1" wp14:editId="5748B7F2">
            <wp:extent cx="1838325" cy="4667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48B7EC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  <w:u w:val="single"/>
        </w:rPr>
      </w:pP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  <w:t xml:space="preserve">       </w:t>
      </w:r>
      <w:r w:rsidRPr="00CA0CDD">
        <w:rPr>
          <w:rFonts w:ascii="Arial" w:eastAsia="Times New Roman" w:hAnsi="Arial" w:cs="Arial"/>
          <w:u w:val="single"/>
        </w:rPr>
        <w:t xml:space="preserve">  </w:t>
      </w:r>
      <w:r w:rsidRPr="00CA0CDD">
        <w:rPr>
          <w:rFonts w:ascii="Arial" w:eastAsia="Times New Roman" w:hAnsi="Arial" w:cs="Arial"/>
          <w:u w:val="single"/>
        </w:rPr>
        <w:tab/>
      </w:r>
      <w:r w:rsidRPr="00CA0CDD">
        <w:rPr>
          <w:rFonts w:ascii="Arial" w:eastAsia="Times New Roman" w:hAnsi="Arial" w:cs="Arial"/>
          <w:u w:val="single"/>
        </w:rPr>
        <w:tab/>
      </w:r>
      <w:r w:rsidRPr="00CA0CDD">
        <w:rPr>
          <w:rFonts w:ascii="Arial" w:eastAsia="Times New Roman" w:hAnsi="Arial" w:cs="Arial"/>
          <w:u w:val="single"/>
        </w:rPr>
        <w:tab/>
        <w:t>_____</w:t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  <w:u w:val="single"/>
        </w:rPr>
        <w:t xml:space="preserve">    </w:t>
      </w:r>
    </w:p>
    <w:p w14:paraId="5748B7ED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</w:r>
      <w:r w:rsidRPr="00CA0CDD">
        <w:rPr>
          <w:rFonts w:ascii="Arial" w:eastAsia="Times New Roman" w:hAnsi="Arial" w:cs="Arial"/>
        </w:rPr>
        <w:tab/>
        <w:t xml:space="preserve"> Peggy Troy, President &amp; CEO</w:t>
      </w:r>
    </w:p>
    <w:p w14:paraId="5748B7EE" w14:textId="77777777" w:rsidR="00CA0CDD" w:rsidRPr="00CA0CDD" w:rsidRDefault="00CA0CDD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 w:rsidRPr="00CA0CDD">
        <w:rPr>
          <w:rFonts w:ascii="Arial" w:eastAsia="Times New Roman" w:hAnsi="Arial" w:cs="Arial"/>
        </w:rPr>
        <w:t xml:space="preserve">                                                                                  </w:t>
      </w:r>
      <w:r w:rsidRPr="00CA0CDD">
        <w:rPr>
          <w:rFonts w:ascii="Arial" w:eastAsia="Times New Roman" w:hAnsi="Arial" w:cs="Arial"/>
        </w:rPr>
        <w:tab/>
        <w:t>Children’s Hospital and Health System</w:t>
      </w:r>
    </w:p>
    <w:p w14:paraId="5748B7EF" w14:textId="5531488A" w:rsidR="00CA0CDD" w:rsidRPr="00CA0CDD" w:rsidRDefault="005F483B" w:rsidP="005F483B">
      <w:pPr>
        <w:widowControl w:val="0"/>
        <w:tabs>
          <w:tab w:val="left" w:pos="0"/>
          <w:tab w:val="left" w:pos="840"/>
          <w:tab w:val="left" w:pos="1320"/>
          <w:tab w:val="left" w:pos="1800"/>
          <w:tab w:val="left" w:pos="2280"/>
          <w:tab w:val="left" w:pos="5400"/>
          <w:tab w:val="left" w:pos="5880"/>
          <w:tab w:val="left" w:pos="6360"/>
          <w:tab w:val="left" w:pos="6840"/>
          <w:tab w:val="left" w:pos="7320"/>
        </w:tabs>
        <w:suppressAutoHyphens/>
        <w:spacing w:after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January 19, 2022</w:t>
      </w:r>
    </w:p>
    <w:p w14:paraId="5748B7F0" w14:textId="64112B3E" w:rsidR="005F483B" w:rsidRDefault="005F483B" w:rsidP="002252E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F11FF0C" w14:textId="77777777" w:rsidR="005F483B" w:rsidRPr="005F483B" w:rsidRDefault="005F483B" w:rsidP="005F483B">
      <w:pPr>
        <w:rPr>
          <w:rFonts w:ascii="Arial" w:hAnsi="Arial" w:cs="Arial"/>
          <w:sz w:val="24"/>
          <w:szCs w:val="24"/>
        </w:rPr>
      </w:pPr>
    </w:p>
    <w:p w14:paraId="4ED03446" w14:textId="77777777" w:rsidR="005F483B" w:rsidRPr="005F483B" w:rsidRDefault="005F483B" w:rsidP="005F483B">
      <w:pPr>
        <w:rPr>
          <w:rFonts w:ascii="Arial" w:hAnsi="Arial" w:cs="Arial"/>
          <w:sz w:val="24"/>
          <w:szCs w:val="24"/>
        </w:rPr>
      </w:pPr>
    </w:p>
    <w:p w14:paraId="4B5BCEA1" w14:textId="77777777" w:rsidR="005F483B" w:rsidRPr="005F483B" w:rsidRDefault="005F483B" w:rsidP="005F483B">
      <w:pPr>
        <w:rPr>
          <w:rFonts w:ascii="Arial" w:hAnsi="Arial" w:cs="Arial"/>
          <w:sz w:val="24"/>
          <w:szCs w:val="24"/>
        </w:rPr>
      </w:pPr>
    </w:p>
    <w:p w14:paraId="18D1D810" w14:textId="77777777" w:rsidR="005F483B" w:rsidRPr="005F483B" w:rsidRDefault="005F483B" w:rsidP="005F483B">
      <w:pPr>
        <w:rPr>
          <w:rFonts w:ascii="Arial" w:hAnsi="Arial" w:cs="Arial"/>
          <w:sz w:val="24"/>
          <w:szCs w:val="24"/>
        </w:rPr>
      </w:pPr>
    </w:p>
    <w:p w14:paraId="01B4DC9E" w14:textId="455A8CB8" w:rsidR="005F483B" w:rsidRDefault="005F483B" w:rsidP="005F483B">
      <w:pPr>
        <w:rPr>
          <w:rFonts w:ascii="Arial" w:hAnsi="Arial" w:cs="Arial"/>
          <w:sz w:val="24"/>
          <w:szCs w:val="24"/>
        </w:rPr>
      </w:pPr>
    </w:p>
    <w:p w14:paraId="3DD53D72" w14:textId="38A306A5" w:rsidR="002252E6" w:rsidRPr="005F483B" w:rsidRDefault="005F483B" w:rsidP="005F483B">
      <w:pPr>
        <w:tabs>
          <w:tab w:val="left" w:pos="3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2252E6" w:rsidRPr="005F483B" w:rsidSect="00B6336E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8B7F5" w14:textId="77777777" w:rsidR="004518A8" w:rsidRDefault="004518A8" w:rsidP="003F26C5">
      <w:pPr>
        <w:spacing w:after="0" w:line="240" w:lineRule="auto"/>
      </w:pPr>
      <w:r>
        <w:separator/>
      </w:r>
    </w:p>
  </w:endnote>
  <w:endnote w:type="continuationSeparator" w:id="0">
    <w:p w14:paraId="5748B7F6" w14:textId="77777777" w:rsidR="004518A8" w:rsidRDefault="004518A8" w:rsidP="003F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48B7F7" w14:textId="77777777" w:rsidR="00372005" w:rsidRPr="008E08D3" w:rsidRDefault="008E08D3">
    <w:pPr>
      <w:pStyle w:val="Footer"/>
      <w:rPr>
        <w:rFonts w:ascii="Arial" w:hAnsi="Arial" w:cs="Arial"/>
        <w:sz w:val="18"/>
        <w:szCs w:val="18"/>
      </w:rPr>
    </w:pPr>
    <w:r w:rsidRPr="008E08D3">
      <w:rPr>
        <w:rFonts w:ascii="Arial" w:hAnsi="Arial" w:cs="Arial"/>
        <w:sz w:val="18"/>
        <w:szCs w:val="18"/>
      </w:rPr>
      <w:t>Original:</w:t>
    </w:r>
    <w:r w:rsidR="00372005" w:rsidRPr="008E08D3">
      <w:rPr>
        <w:rFonts w:ascii="Arial" w:hAnsi="Arial" w:cs="Arial"/>
        <w:sz w:val="18"/>
        <w:szCs w:val="18"/>
      </w:rPr>
      <w:t xml:space="preserve">   03/2015</w:t>
    </w:r>
  </w:p>
  <w:p w14:paraId="5748B7F8" w14:textId="4F0092EB" w:rsidR="008E08D3" w:rsidRPr="008E08D3" w:rsidRDefault="008E08D3">
    <w:pPr>
      <w:pStyle w:val="Footer"/>
      <w:rPr>
        <w:rFonts w:ascii="Arial" w:hAnsi="Arial" w:cs="Arial"/>
        <w:sz w:val="18"/>
        <w:szCs w:val="18"/>
      </w:rPr>
    </w:pPr>
    <w:r w:rsidRPr="008E08D3">
      <w:rPr>
        <w:rFonts w:ascii="Arial" w:hAnsi="Arial" w:cs="Arial"/>
        <w:sz w:val="18"/>
        <w:szCs w:val="18"/>
      </w:rPr>
      <w:t>Re</w:t>
    </w:r>
    <w:r w:rsidR="005F483B">
      <w:rPr>
        <w:rFonts w:ascii="Arial" w:hAnsi="Arial" w:cs="Arial"/>
        <w:sz w:val="18"/>
        <w:szCs w:val="18"/>
      </w:rPr>
      <w:t>viewed</w:t>
    </w:r>
    <w:r w:rsidRPr="008E08D3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</w:t>
    </w:r>
    <w:r w:rsidR="005F483B">
      <w:rPr>
        <w:rFonts w:ascii="Arial" w:hAnsi="Arial" w:cs="Arial"/>
        <w:sz w:val="18"/>
        <w:szCs w:val="18"/>
      </w:rPr>
      <w:t>1/19/2022</w:t>
    </w:r>
  </w:p>
  <w:p w14:paraId="5748B7F9" w14:textId="6ABE5A1F" w:rsidR="008E08D3" w:rsidRPr="008E08D3" w:rsidRDefault="008E08D3">
    <w:pPr>
      <w:pStyle w:val="Footer"/>
      <w:rPr>
        <w:rFonts w:ascii="Arial" w:hAnsi="Arial" w:cs="Arial"/>
        <w:sz w:val="18"/>
        <w:szCs w:val="18"/>
      </w:rPr>
    </w:pPr>
    <w:r w:rsidRPr="008E08D3">
      <w:rPr>
        <w:rFonts w:ascii="Arial" w:hAnsi="Arial" w:cs="Arial"/>
        <w:sz w:val="18"/>
        <w:szCs w:val="18"/>
      </w:rPr>
      <w:t>Effective:</w:t>
    </w:r>
    <w:r>
      <w:rPr>
        <w:rFonts w:ascii="Arial" w:hAnsi="Arial" w:cs="Arial"/>
        <w:sz w:val="18"/>
        <w:szCs w:val="18"/>
      </w:rPr>
      <w:t xml:space="preserve"> </w:t>
    </w:r>
    <w:r w:rsidR="005F483B">
      <w:rPr>
        <w:rFonts w:ascii="Arial" w:hAnsi="Arial" w:cs="Arial"/>
        <w:sz w:val="18"/>
        <w:szCs w:val="18"/>
      </w:rPr>
      <w:t>1/19/2022</w:t>
    </w:r>
  </w:p>
  <w:p w14:paraId="5748B7FA" w14:textId="1C23B257" w:rsidR="00372005" w:rsidRPr="008E08D3" w:rsidRDefault="008E08D3">
    <w:pPr>
      <w:pStyle w:val="Footer"/>
      <w:rPr>
        <w:rFonts w:ascii="Arial" w:hAnsi="Arial" w:cs="Arial"/>
        <w:sz w:val="18"/>
        <w:szCs w:val="18"/>
      </w:rPr>
    </w:pPr>
    <w:r w:rsidRPr="008E08D3">
      <w:rPr>
        <w:rFonts w:ascii="Arial" w:hAnsi="Arial" w:cs="Arial"/>
        <w:bCs/>
        <w:sz w:val="18"/>
        <w:szCs w:val="18"/>
      </w:rPr>
      <w:t>Research Records -Record Retention for Human Subjects</w:t>
    </w:r>
    <w:r w:rsidR="005F483B">
      <w:rPr>
        <w:rFonts w:ascii="Arial" w:hAnsi="Arial" w:cs="Arial"/>
        <w:bCs/>
        <w:sz w:val="18"/>
        <w:szCs w:val="18"/>
      </w:rPr>
      <w:t>/</w:t>
    </w:r>
    <w:r w:rsidRPr="008E08D3">
      <w:rPr>
        <w:rFonts w:ascii="Arial" w:hAnsi="Arial" w:cs="Arial"/>
        <w:bCs/>
        <w:sz w:val="18"/>
        <w:szCs w:val="18"/>
      </w:rPr>
      <w:t xml:space="preserve"> </w:t>
    </w:r>
    <w:r w:rsidR="00372005" w:rsidRPr="008E08D3">
      <w:rPr>
        <w:rFonts w:ascii="Arial" w:hAnsi="Arial" w:cs="Arial"/>
        <w:sz w:val="18"/>
        <w:szCs w:val="18"/>
      </w:rPr>
      <w:t>Process Owner:  Director Corporate Compliance</w:t>
    </w:r>
  </w:p>
  <w:p w14:paraId="5748B7FB" w14:textId="77777777" w:rsidR="00372005" w:rsidRDefault="00372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8B7F3" w14:textId="77777777" w:rsidR="004518A8" w:rsidRDefault="004518A8" w:rsidP="003F26C5">
      <w:pPr>
        <w:spacing w:after="0" w:line="240" w:lineRule="auto"/>
      </w:pPr>
      <w:r>
        <w:separator/>
      </w:r>
    </w:p>
  </w:footnote>
  <w:footnote w:type="continuationSeparator" w:id="0">
    <w:p w14:paraId="5748B7F4" w14:textId="77777777" w:rsidR="004518A8" w:rsidRDefault="004518A8" w:rsidP="003F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D04F4"/>
    <w:multiLevelType w:val="hybridMultilevel"/>
    <w:tmpl w:val="C9D4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1742D"/>
    <w:multiLevelType w:val="hybridMultilevel"/>
    <w:tmpl w:val="10945D2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0D1CB1"/>
    <w:multiLevelType w:val="hybridMultilevel"/>
    <w:tmpl w:val="CE2E37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17717B4C"/>
    <w:multiLevelType w:val="hybridMultilevel"/>
    <w:tmpl w:val="D960B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6C15DC"/>
    <w:multiLevelType w:val="hybridMultilevel"/>
    <w:tmpl w:val="B024F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9E50C5"/>
    <w:multiLevelType w:val="multilevel"/>
    <w:tmpl w:val="BD34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A7F7E29"/>
    <w:multiLevelType w:val="hybridMultilevel"/>
    <w:tmpl w:val="776CE5D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>
    <w:nsid w:val="323B4CD8"/>
    <w:multiLevelType w:val="multilevel"/>
    <w:tmpl w:val="9A4AA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B9166E1"/>
    <w:multiLevelType w:val="hybridMultilevel"/>
    <w:tmpl w:val="4992B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BD7E7F"/>
    <w:multiLevelType w:val="hybridMultilevel"/>
    <w:tmpl w:val="22D6EFBE"/>
    <w:lvl w:ilvl="0" w:tplc="E7E82C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B52FD4"/>
    <w:multiLevelType w:val="hybridMultilevel"/>
    <w:tmpl w:val="A224C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4D7191"/>
    <w:multiLevelType w:val="hybridMultilevel"/>
    <w:tmpl w:val="44166B70"/>
    <w:lvl w:ilvl="0" w:tplc="0409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B020A"/>
    <w:multiLevelType w:val="hybridMultilevel"/>
    <w:tmpl w:val="00506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04D2D"/>
    <w:multiLevelType w:val="hybridMultilevel"/>
    <w:tmpl w:val="775EDAA6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52ED06C4"/>
    <w:multiLevelType w:val="hybridMultilevel"/>
    <w:tmpl w:val="71765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1284C"/>
    <w:multiLevelType w:val="hybridMultilevel"/>
    <w:tmpl w:val="39C6E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207B77"/>
    <w:multiLevelType w:val="hybridMultilevel"/>
    <w:tmpl w:val="A426F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60978"/>
    <w:multiLevelType w:val="hybridMultilevel"/>
    <w:tmpl w:val="C22CA060"/>
    <w:lvl w:ilvl="0" w:tplc="BAC46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4C32D4D"/>
    <w:multiLevelType w:val="hybridMultilevel"/>
    <w:tmpl w:val="3828E480"/>
    <w:lvl w:ilvl="0" w:tplc="5AC249B6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3"/>
  </w:num>
  <w:num w:numId="5">
    <w:abstractNumId w:val="17"/>
  </w:num>
  <w:num w:numId="6">
    <w:abstractNumId w:val="12"/>
  </w:num>
  <w:num w:numId="7">
    <w:abstractNumId w:val="18"/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5"/>
  </w:num>
  <w:num w:numId="13">
    <w:abstractNumId w:val="7"/>
  </w:num>
  <w:num w:numId="14">
    <w:abstractNumId w:val="1"/>
  </w:num>
  <w:num w:numId="15">
    <w:abstractNumId w:val="2"/>
  </w:num>
  <w:num w:numId="16">
    <w:abstractNumId w:val="11"/>
  </w:num>
  <w:num w:numId="17">
    <w:abstractNumId w:val="16"/>
  </w:num>
  <w:num w:numId="18">
    <w:abstractNumId w:val="14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18"/>
    <w:rsid w:val="000004A1"/>
    <w:rsid w:val="000147CA"/>
    <w:rsid w:val="000726AC"/>
    <w:rsid w:val="000732C7"/>
    <w:rsid w:val="000A06AA"/>
    <w:rsid w:val="000D0967"/>
    <w:rsid w:val="000E0A75"/>
    <w:rsid w:val="001F2C45"/>
    <w:rsid w:val="002252E6"/>
    <w:rsid w:val="00275DA1"/>
    <w:rsid w:val="002C0528"/>
    <w:rsid w:val="00312FDF"/>
    <w:rsid w:val="00315518"/>
    <w:rsid w:val="00372005"/>
    <w:rsid w:val="003F26C5"/>
    <w:rsid w:val="003F6C5E"/>
    <w:rsid w:val="004518A8"/>
    <w:rsid w:val="004D76FD"/>
    <w:rsid w:val="005029D5"/>
    <w:rsid w:val="005051B5"/>
    <w:rsid w:val="005953DE"/>
    <w:rsid w:val="005B76D8"/>
    <w:rsid w:val="005C683E"/>
    <w:rsid w:val="005F41F4"/>
    <w:rsid w:val="005F483B"/>
    <w:rsid w:val="006310ED"/>
    <w:rsid w:val="006A47B6"/>
    <w:rsid w:val="006D00DD"/>
    <w:rsid w:val="008E08D3"/>
    <w:rsid w:val="00910609"/>
    <w:rsid w:val="00A32472"/>
    <w:rsid w:val="00A7287B"/>
    <w:rsid w:val="00A85222"/>
    <w:rsid w:val="00AE4BA2"/>
    <w:rsid w:val="00B41D93"/>
    <w:rsid w:val="00B6336E"/>
    <w:rsid w:val="00B67819"/>
    <w:rsid w:val="00B80D98"/>
    <w:rsid w:val="00BA2E6F"/>
    <w:rsid w:val="00BC33D8"/>
    <w:rsid w:val="00C110F2"/>
    <w:rsid w:val="00C622DD"/>
    <w:rsid w:val="00C87AA8"/>
    <w:rsid w:val="00CA0CDD"/>
    <w:rsid w:val="00CA541A"/>
    <w:rsid w:val="00D12950"/>
    <w:rsid w:val="00DF322A"/>
    <w:rsid w:val="00E14B3B"/>
    <w:rsid w:val="00E20188"/>
    <w:rsid w:val="00FB15F7"/>
    <w:rsid w:val="00FD0004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748B7AB"/>
  <w15:docId w15:val="{997191BE-DEC1-461F-AEC1-51C7C357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2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6C5"/>
  </w:style>
  <w:style w:type="paragraph" w:styleId="Footer">
    <w:name w:val="footer"/>
    <w:basedOn w:val="Normal"/>
    <w:link w:val="FooterChar"/>
    <w:uiPriority w:val="99"/>
    <w:unhideWhenUsed/>
    <w:rsid w:val="003F2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6C5"/>
  </w:style>
  <w:style w:type="paragraph" w:styleId="BalloonText">
    <w:name w:val="Balloon Text"/>
    <w:basedOn w:val="Normal"/>
    <w:link w:val="BalloonTextChar"/>
    <w:uiPriority w:val="99"/>
    <w:semiHidden/>
    <w:unhideWhenUsed/>
    <w:rsid w:val="003F2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6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726A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A47B6"/>
    <w:rPr>
      <w:b/>
      <w:bCs/>
      <w:sz w:val="24"/>
      <w:szCs w:val="24"/>
      <w:bdr w:val="none" w:sz="0" w:space="0" w:color="auto" w:frame="1"/>
      <w:vertAlign w:val="baseline"/>
    </w:rPr>
  </w:style>
  <w:style w:type="character" w:customStyle="1" w:styleId="element-invisible1">
    <w:name w:val="element-invisible1"/>
    <w:basedOn w:val="DefaultParagraphFont"/>
    <w:rsid w:val="006A47B6"/>
    <w:rPr>
      <w:sz w:val="24"/>
      <w:szCs w:val="24"/>
      <w:bdr w:val="none" w:sz="0" w:space="0" w:color="auto" w:frame="1"/>
      <w:vertAlign w:val="baseline"/>
    </w:rPr>
  </w:style>
  <w:style w:type="paragraph" w:styleId="NormalWeb">
    <w:name w:val="Normal (Web)"/>
    <w:basedOn w:val="Normal"/>
    <w:uiPriority w:val="99"/>
    <w:unhideWhenUsed/>
    <w:rsid w:val="006A47B6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5953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8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374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11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42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6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69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062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86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hs.gov/ohrp/policy/faq/investigator-responsibilities/records-should-investigators-keep.html" TargetMode="External"/><Relationship Id="rId18" Type="http://schemas.openxmlformats.org/officeDocument/2006/relationships/hyperlink" Target="http://www.ecfr.gov/cgi-bin/text-idx?SID=b615e4bc107c324567541fbc36022291&amp;node=42:1.0.1.8.74.3.29.6&amp;rgn=div8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ccessdata.fda.gov/scripts/cdrh/cfdocs/cfcfr/CFRSearch.cfm?fr=812.140" TargetMode="External"/><Relationship Id="rId17" Type="http://schemas.openxmlformats.org/officeDocument/2006/relationships/hyperlink" Target="http://www.accessdata.fda.gov/scripts/cdrh/cfdocs/cfcfr/CFRSearch.cfm?fr=56.11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hhs.gov/ohrp/humansubjects/guidance/45cfr46.htm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ccessdata.fda.gov/scripts/cdrh/cfdocs/cfcfr/CFRSearch.cfm?fr=312.6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po.gov/fdsys/pkg/CFR-2011-title45-vol1/pdf/CFR-2011-title45-vol1-sec164-530.pdf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fda.gov/downloads/Drugs/GuidanceComplianceRegulatoryInformation/Guidances/ucm073122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licy_x0020_Owner xmlns="e9b5112f-334e-44b4-aa95-b322291a5278">
      <UserInfo>
        <DisplayName>i:0#.w|chwi\trt77</DisplayName>
        <AccountId>56</AccountId>
        <AccountType/>
      </UserInfo>
    </Policy_x0020_Owner>
    <Comments xmlns="e9b5112f-334e-44b4-aa95-b322291a5278" xsi:nil="true"/>
    <Last_x0020_Review_x0020_Date xmlns="e9b5112f-334e-44b4-aa95-b322291a5278">2022-01-19T06:00:00+00:00</Last_x0020_Review_x0020_Date>
    <Next_x0020_Review_x0020_Date xmlns="e9b5112f-334e-44b4-aa95-b322291a5278">2025-01-19T06:00:00+00:00</Next_x0020_Review_x0020_Date>
    <Sub_x002d_location xmlns="e9b5112f-334e-44b4-aa95-b322291a5278">
      <Value>Child and Family Well Being</Value>
      <Value>Children's Community Health Plan</Value>
      <Value>Children’s Medical Group</Value>
      <Value>Community Health and Education</Value>
      <Value>Dialysis</Value>
      <Value>Fox Valley Hospital and Specialty Clinics</Value>
      <Value>Milwaukee Hospital and Specialty Clinics</Value>
      <Value>Surgicenter</Value>
      <Value>Urgent Care</Value>
    </Sub_x002d_location>
    <Location xmlns="e9b5112f-334e-44b4-aa95-b322291a5278">
      <Value>4</Value>
    </Location>
    <Approver_x0020_1 xmlns="b7884689-705d-43f7-9021-33c853c7d602">
      <UserInfo>
        <DisplayName>i:0#.w|chwi\cd263</DisplayName>
        <AccountId>117</AccountId>
        <AccountType/>
      </UserInfo>
    </Approver_x0020_1>
    <Approver_x0020_2 xmlns="b7884689-705d-43f7-9021-33c853c7d602">
      <UserInfo>
        <DisplayName>i:0#.w|chwi\tan06</DisplayName>
        <AccountId>35</AccountId>
        <AccountType/>
      </UserInfo>
    </Approver_x0020_2>
    <Approver_x0020_3 xmlns="b7884689-705d-43f7-9021-33c853c7d602">
      <UserInfo>
        <DisplayName/>
        <AccountId xsi:nil="true"/>
        <AccountType/>
      </UserInfo>
    </Approver_x0020_3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A29A7E4769C34D9E7B3B5E1063C5D6" ma:contentTypeVersion="14" ma:contentTypeDescription="Create a new document." ma:contentTypeScope="" ma:versionID="23af82661f574158c47a5307e801ee8b">
  <xsd:schema xmlns:xsd="http://www.w3.org/2001/XMLSchema" xmlns:xs="http://www.w3.org/2001/XMLSchema" xmlns:p="http://schemas.microsoft.com/office/2006/metadata/properties" xmlns:ns2="e9b5112f-334e-44b4-aa95-b322291a5278" xmlns:ns3="b7884689-705d-43f7-9021-33c853c7d602" targetNamespace="http://schemas.microsoft.com/office/2006/metadata/properties" ma:root="true" ma:fieldsID="eb8f40e259b0c70cce49b5b32083aa15" ns2:_="" ns3:_="">
    <xsd:import namespace="e9b5112f-334e-44b4-aa95-b322291a5278"/>
    <xsd:import namespace="b7884689-705d-43f7-9021-33c853c7d602"/>
    <xsd:element name="properties">
      <xsd:complexType>
        <xsd:sequence>
          <xsd:element name="documentManagement">
            <xsd:complexType>
              <xsd:all>
                <xsd:element ref="ns2:Location" minOccurs="0"/>
                <xsd:element ref="ns2:Sub_x002d_location" minOccurs="0"/>
                <xsd:element ref="ns2:Policy_x0020_Owner" minOccurs="0"/>
                <xsd:element ref="ns3:Approver_x0020_1" minOccurs="0"/>
                <xsd:element ref="ns3:Approver_x0020_2" minOccurs="0"/>
                <xsd:element ref="ns3:Approver_x0020_3" minOccurs="0"/>
                <xsd:element ref="ns2:Last_x0020_Review_x0020_Date" minOccurs="0"/>
                <xsd:element ref="ns2:Next_x0020_Review_x0020_Date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5112f-334e-44b4-aa95-b322291a5278" elementFormDefault="qualified">
    <xsd:import namespace="http://schemas.microsoft.com/office/2006/documentManagement/types"/>
    <xsd:import namespace="http://schemas.microsoft.com/office/infopath/2007/PartnerControls"/>
    <xsd:element name="Location" ma:index="2" nillable="true" ma:displayName="Sites Impacted" ma:list="{1d0e5c4f-5102-461d-b43c-e10f5e60d146}" ma:internalName="Location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d_location" ma:index="3" nillable="true" ma:displayName="Sub-location" ma:default="NA" ma:internalName="Sub_x002d_loca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"/>
                    <xsd:enumeration value="Child and Family Well Being"/>
                    <xsd:enumeration value="Children's Community Health Plan"/>
                    <xsd:enumeration value="Children’s Medical Group"/>
                    <xsd:enumeration value="Community Health and Education"/>
                    <xsd:enumeration value="Dialysis"/>
                    <xsd:enumeration value="Fox Valley Hospital and Specialty Clinics"/>
                    <xsd:enumeration value="Milwaukee Hospital and Specialty Clinics"/>
                    <xsd:enumeration value="Surgicenter"/>
                    <xsd:enumeration value="Urgent Care"/>
                  </xsd:restriction>
                </xsd:simpleType>
              </xsd:element>
            </xsd:sequence>
          </xsd:extension>
        </xsd:complexContent>
      </xsd:complexType>
    </xsd:element>
    <xsd:element name="Policy_x0020_Owner" ma:index="4" nillable="true" ma:displayName="Policy Owner" ma:list="UserInfo" ma:SharePointGroup="0" ma:internalName="Policy_x0020_Ow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_x0020_Date" ma:index="8" nillable="true" ma:displayName="Last Review Date" ma:format="DateOnly" ma:internalName="Last_x0020_Review_x0020_Date">
      <xsd:simpleType>
        <xsd:restriction base="dms:DateTime"/>
      </xsd:simpleType>
    </xsd:element>
    <xsd:element name="Next_x0020_Review_x0020_Date" ma:index="9" nillable="true" ma:displayName="Next Review Date" ma:format="DateOnly" ma:internalName="Next_x0020_Review_x0020_Date">
      <xsd:simpleType>
        <xsd:restriction base="dms:DateTime"/>
      </xsd:simpleType>
    </xsd:element>
    <xsd:element name="Comments" ma:index="10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84689-705d-43f7-9021-33c853c7d602" elementFormDefault="qualified">
    <xsd:import namespace="http://schemas.microsoft.com/office/2006/documentManagement/types"/>
    <xsd:import namespace="http://schemas.microsoft.com/office/infopath/2007/PartnerControls"/>
    <xsd:element name="Approver_x0020_1" ma:index="5" nillable="true" ma:displayName="Approver 1" ma:list="UserInfo" ma:SharePointGroup="0" ma:internalName="Approver_x0020_1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2" ma:index="6" nillable="true" ma:displayName="Approver 2" ma:list="UserInfo" ma:SharePointGroup="0" ma:internalName="Approver_x0020_2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3" ma:index="7" nillable="true" ma:displayName="Approver 3" ma:list="UserInfo" ma:SharePointGroup="0" ma:internalName="Approver_x0020_3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4087C1-022E-41F4-BF8E-B5F3237DBD84}"/>
</file>

<file path=customXml/itemProps2.xml><?xml version="1.0" encoding="utf-8"?>
<ds:datastoreItem xmlns:ds="http://schemas.openxmlformats.org/officeDocument/2006/customXml" ds:itemID="{591B3A11-BC5B-4C0C-9B36-C3A686057814}"/>
</file>

<file path=customXml/itemProps3.xml><?xml version="1.0" encoding="utf-8"?>
<ds:datastoreItem xmlns:ds="http://schemas.openxmlformats.org/officeDocument/2006/customXml" ds:itemID="{5038B1E8-9F20-441D-8005-E1F6186C577D}"/>
</file>

<file path=customXml/itemProps4.xml><?xml version="1.0" encoding="utf-8"?>
<ds:datastoreItem xmlns:ds="http://schemas.openxmlformats.org/officeDocument/2006/customXml" ds:itemID="{3251D846-19B4-4AE6-B42E-8DC0A1F21B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Bauer</dc:creator>
  <cp:lastModifiedBy>Niss, Traci</cp:lastModifiedBy>
  <cp:revision>3</cp:revision>
  <cp:lastPrinted>2015-03-19T19:21:00Z</cp:lastPrinted>
  <dcterms:created xsi:type="dcterms:W3CDTF">2018-12-31T15:22:00Z</dcterms:created>
  <dcterms:modified xsi:type="dcterms:W3CDTF">2022-01-19T19:59:00Z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0x010100FDA29A7E4769C34D9E7B3B5E1063C5D6</vt:lpwstr>
  </property>
  <property fmtid="{D5CDD505-2E9C-101B-9397-08002B2CF9AE}" pid="3" name="Order">
    <vt:r8>17200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8" name="_CopySource">
    <vt:lpwstr>https://pnp.chw.org/Administrative Published/Research - Record Retention Policy for Human Subjects.docx</vt:lpwstr>
  </property>
</Properties>
</file>