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603B" w14:textId="77777777" w:rsidR="00D41215" w:rsidRDefault="00781157" w:rsidP="00AA6A2B">
      <w:pPr>
        <w:pStyle w:val="Heading1"/>
        <w:pBdr>
          <w:top w:val="single" w:sz="4" w:space="1" w:color="auto"/>
          <w:left w:val="single" w:sz="4" w:space="3" w:color="auto"/>
          <w:bottom w:val="single" w:sz="4" w:space="0" w:color="auto"/>
          <w:right w:val="single" w:sz="4" w:space="9" w:color="auto"/>
        </w:pBdr>
        <w:ind w:left="91"/>
        <w:jc w:val="center"/>
      </w:pPr>
      <w:r>
        <w:rPr>
          <w:noProof/>
        </w:rPr>
        <mc:AlternateContent>
          <mc:Choice Requires="wps">
            <w:drawing>
              <wp:anchor distT="0" distB="0" distL="114300" distR="114300" simplePos="0" relativeHeight="251659264" behindDoc="0" locked="0" layoutInCell="1" allowOverlap="1" wp14:anchorId="4EE931DF" wp14:editId="632B05B6">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14:paraId="06C58154" w14:textId="75817B45" w:rsidR="00D41215" w:rsidRDefault="00F13FF0" w:rsidP="00D41215">
                            <w:pPr>
                              <w:jc w:val="center"/>
                            </w:pPr>
                            <w:r w:rsidRPr="00BC643F">
                              <w:rPr>
                                <w:noProof/>
                                <w:szCs w:val="48"/>
                              </w:rPr>
                              <w:drawing>
                                <wp:inline distT="0" distB="0" distL="0" distR="0" wp14:anchorId="03630EE4" wp14:editId="28950592">
                                  <wp:extent cx="1477645" cy="785377"/>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035" cy="789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931DF"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" stroked="f">
                <v:textbox>
                  <w:txbxContent>
                    <w:p w14:paraId="06C58154" w14:textId="75817B45" w:rsidR="00D41215" w:rsidRDefault="00F13FF0" w:rsidP="00D41215">
                      <w:pPr>
                        <w:jc w:val="center"/>
                      </w:pPr>
                      <w:r w:rsidRPr="00BC643F">
                        <w:rPr>
                          <w:noProof/>
                          <w:szCs w:val="48"/>
                        </w:rPr>
                        <w:drawing>
                          <wp:inline distT="0" distB="0" distL="0" distR="0" wp14:anchorId="03630EE4" wp14:editId="28950592">
                            <wp:extent cx="1477645" cy="785377"/>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035" cy="789305"/>
                                    </a:xfrm>
                                    <a:prstGeom prst="rect">
                                      <a:avLst/>
                                    </a:prstGeom>
                                    <a:noFill/>
                                    <a:ln>
                                      <a:noFill/>
                                    </a:ln>
                                  </pic:spPr>
                                </pic:pic>
                              </a:graphicData>
                            </a:graphic>
                          </wp:inline>
                        </w:drawing>
                      </w:r>
                    </w:p>
                  </w:txbxContent>
                </v:textbox>
              </v:shape>
            </w:pict>
          </mc:Fallback>
        </mc:AlternateContent>
      </w:r>
    </w:p>
    <w:p w14:paraId="00B6710F" w14:textId="77777777" w:rsidR="0037004A" w:rsidRPr="00310308" w:rsidRDefault="00A1381F" w:rsidP="00AA6A2B">
      <w:pPr>
        <w:pStyle w:val="Heading1"/>
        <w:pBdr>
          <w:top w:val="single" w:sz="4" w:space="1" w:color="auto"/>
          <w:left w:val="single" w:sz="4" w:space="3" w:color="auto"/>
          <w:bottom w:val="single" w:sz="4" w:space="0" w:color="auto"/>
          <w:right w:val="single" w:sz="4" w:space="9" w:color="auto"/>
        </w:pBdr>
        <w:ind w:left="91"/>
        <w:jc w:val="center"/>
        <w:rPr>
          <w:color w:val="auto"/>
          <w:sz w:val="28"/>
          <w:szCs w:val="28"/>
        </w:rPr>
      </w:pPr>
      <w:r w:rsidRPr="00310308">
        <w:rPr>
          <w:color w:val="auto"/>
          <w:sz w:val="28"/>
          <w:szCs w:val="28"/>
        </w:rPr>
        <w:t>Ann</w:t>
      </w:r>
      <w:r w:rsidRPr="00941EA6">
        <w:rPr>
          <w:color w:val="auto"/>
          <w:sz w:val="28"/>
          <w:szCs w:val="28"/>
        </w:rPr>
        <w:t>ex</w:t>
      </w:r>
      <w:r w:rsidR="003C2D71" w:rsidRPr="00941EA6">
        <w:rPr>
          <w:color w:val="auto"/>
          <w:sz w:val="28"/>
          <w:szCs w:val="28"/>
        </w:rPr>
        <w:t xml:space="preserve"> B</w:t>
      </w:r>
    </w:p>
    <w:p w14:paraId="721BF3B5" w14:textId="77777777" w:rsidR="00D41215" w:rsidRPr="00310308" w:rsidRDefault="0037004A" w:rsidP="00AA6A2B">
      <w:pPr>
        <w:pStyle w:val="Heading1"/>
        <w:pBdr>
          <w:top w:val="single" w:sz="4" w:space="1" w:color="auto"/>
          <w:left w:val="single" w:sz="4" w:space="3" w:color="auto"/>
          <w:bottom w:val="single" w:sz="4" w:space="0" w:color="auto"/>
          <w:right w:val="single" w:sz="4" w:space="9" w:color="auto"/>
        </w:pBdr>
        <w:ind w:left="91"/>
        <w:rPr>
          <w:color w:val="auto"/>
          <w:sz w:val="28"/>
          <w:szCs w:val="28"/>
        </w:rPr>
      </w:pPr>
      <w:r w:rsidRPr="00310308">
        <w:rPr>
          <w:color w:val="auto"/>
          <w:sz w:val="28"/>
          <w:szCs w:val="28"/>
        </w:rPr>
        <w:t xml:space="preserve">  </w:t>
      </w:r>
    </w:p>
    <w:p w14:paraId="35616DDA" w14:textId="74AAF85A" w:rsidR="00D41215" w:rsidRPr="00310308" w:rsidRDefault="00D41215" w:rsidP="00AA6A2B">
      <w:pPr>
        <w:pStyle w:val="Heading1"/>
        <w:pBdr>
          <w:top w:val="single" w:sz="4" w:space="1" w:color="auto"/>
          <w:left w:val="single" w:sz="4" w:space="3" w:color="auto"/>
          <w:bottom w:val="single" w:sz="4" w:space="0" w:color="auto"/>
          <w:right w:val="single" w:sz="4" w:space="9" w:color="auto"/>
        </w:pBdr>
        <w:ind w:left="91"/>
        <w:rPr>
          <w:color w:val="auto"/>
          <w:sz w:val="28"/>
          <w:szCs w:val="28"/>
        </w:rPr>
      </w:pPr>
      <w:r w:rsidRPr="00310308">
        <w:rPr>
          <w:color w:val="auto"/>
          <w:sz w:val="28"/>
          <w:szCs w:val="28"/>
        </w:rPr>
        <w:t>Format for providing public comments</w:t>
      </w:r>
      <w:r w:rsidR="00C70806" w:rsidRPr="00310308">
        <w:rPr>
          <w:color w:val="auto"/>
          <w:sz w:val="28"/>
          <w:szCs w:val="28"/>
        </w:rPr>
        <w:t xml:space="preserve"> to DIFCA</w:t>
      </w:r>
      <w:r w:rsidR="00703B8F" w:rsidRPr="00310308">
        <w:rPr>
          <w:color w:val="auto"/>
          <w:sz w:val="28"/>
          <w:szCs w:val="28"/>
        </w:rPr>
        <w:t xml:space="preserve"> on Consultation P</w:t>
      </w:r>
      <w:r w:rsidRPr="00310308">
        <w:rPr>
          <w:color w:val="auto"/>
          <w:sz w:val="28"/>
          <w:szCs w:val="28"/>
        </w:rPr>
        <w:t>aper</w:t>
      </w:r>
      <w:r w:rsidR="00C70806" w:rsidRPr="00310308">
        <w:rPr>
          <w:color w:val="auto"/>
          <w:sz w:val="28"/>
          <w:szCs w:val="28"/>
        </w:rPr>
        <w:t xml:space="preserve"> No</w:t>
      </w:r>
      <w:r w:rsidR="006C1471">
        <w:rPr>
          <w:color w:val="auto"/>
          <w:sz w:val="28"/>
          <w:szCs w:val="28"/>
        </w:rPr>
        <w:t xml:space="preserve">. </w:t>
      </w:r>
      <w:r w:rsidR="00B245B6">
        <w:rPr>
          <w:color w:val="auto"/>
          <w:sz w:val="28"/>
          <w:szCs w:val="28"/>
        </w:rPr>
        <w:t>1</w:t>
      </w:r>
      <w:r w:rsidR="007B3715" w:rsidRPr="00310308">
        <w:rPr>
          <w:color w:val="auto"/>
          <w:sz w:val="28"/>
          <w:szCs w:val="28"/>
        </w:rPr>
        <w:t xml:space="preserve"> of </w:t>
      </w:r>
      <w:r w:rsidR="00B462E3" w:rsidRPr="00310308">
        <w:rPr>
          <w:color w:val="auto"/>
          <w:sz w:val="28"/>
          <w:szCs w:val="28"/>
        </w:rPr>
        <w:t>202</w:t>
      </w:r>
      <w:r w:rsidR="00A36004">
        <w:rPr>
          <w:color w:val="auto"/>
          <w:sz w:val="28"/>
          <w:szCs w:val="28"/>
        </w:rPr>
        <w:t>4</w:t>
      </w:r>
    </w:p>
    <w:p w14:paraId="2BB76A40" w14:textId="77777777" w:rsidR="00B245B6" w:rsidRDefault="00365A9B" w:rsidP="00AA6A2B">
      <w:pPr>
        <w:pStyle w:val="Heading1"/>
        <w:pBdr>
          <w:top w:val="single" w:sz="4" w:space="1" w:color="auto"/>
          <w:left w:val="single" w:sz="4" w:space="3" w:color="auto"/>
          <w:bottom w:val="single" w:sz="4" w:space="0" w:color="auto"/>
          <w:right w:val="single" w:sz="4" w:space="9" w:color="auto"/>
        </w:pBdr>
        <w:ind w:left="91"/>
        <w:rPr>
          <w:color w:val="auto"/>
          <w:sz w:val="26"/>
          <w:szCs w:val="26"/>
        </w:rPr>
      </w:pPr>
      <w:r w:rsidRPr="0036053A">
        <w:rPr>
          <w:color w:val="auto"/>
          <w:sz w:val="26"/>
          <w:szCs w:val="26"/>
        </w:rPr>
        <w:t xml:space="preserve">Proposed </w:t>
      </w:r>
      <w:r w:rsidR="00A36004">
        <w:rPr>
          <w:color w:val="auto"/>
          <w:sz w:val="26"/>
          <w:szCs w:val="26"/>
        </w:rPr>
        <w:t>Amendment</w:t>
      </w:r>
      <w:r w:rsidR="00B245B6">
        <w:rPr>
          <w:color w:val="auto"/>
          <w:sz w:val="26"/>
          <w:szCs w:val="26"/>
        </w:rPr>
        <w:t>s</w:t>
      </w:r>
      <w:r w:rsidR="00A36004">
        <w:rPr>
          <w:color w:val="auto"/>
          <w:sz w:val="26"/>
          <w:szCs w:val="26"/>
        </w:rPr>
        <w:t xml:space="preserve"> </w:t>
      </w:r>
      <w:r w:rsidR="00B245B6" w:rsidRPr="00B245B6">
        <w:rPr>
          <w:color w:val="auto"/>
          <w:sz w:val="26"/>
          <w:szCs w:val="26"/>
        </w:rPr>
        <w:t>to the Law on the Application of Civil and Commercial Laws in the DIFC</w:t>
      </w:r>
    </w:p>
    <w:p w14:paraId="75C01664" w14:textId="421BCB78" w:rsidR="00365A9B" w:rsidRPr="0036053A" w:rsidRDefault="00B245B6" w:rsidP="00AA6A2B">
      <w:pPr>
        <w:pStyle w:val="Heading1"/>
        <w:pBdr>
          <w:top w:val="single" w:sz="4" w:space="1" w:color="auto"/>
          <w:left w:val="single" w:sz="4" w:space="3" w:color="auto"/>
          <w:bottom w:val="single" w:sz="4" w:space="0" w:color="auto"/>
          <w:right w:val="single" w:sz="4" w:space="9" w:color="auto"/>
        </w:pBdr>
        <w:ind w:left="91"/>
        <w:rPr>
          <w:color w:val="auto"/>
          <w:sz w:val="26"/>
          <w:szCs w:val="26"/>
        </w:rPr>
      </w:pPr>
      <w:r>
        <w:rPr>
          <w:color w:val="auto"/>
          <w:sz w:val="26"/>
          <w:szCs w:val="26"/>
        </w:rPr>
        <w:t>(the “Proposed Legislation”)</w:t>
      </w:r>
      <w:r w:rsidRPr="00B245B6">
        <w:rPr>
          <w:color w:val="auto"/>
          <w:sz w:val="26"/>
          <w:szCs w:val="26"/>
        </w:rPr>
        <w:t xml:space="preserve"> </w:t>
      </w:r>
    </w:p>
    <w:tbl>
      <w:tblPr>
        <w:tblStyle w:val="TableGrid"/>
        <w:tblW w:w="15233" w:type="dxa"/>
        <w:tblInd w:w="-5"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233"/>
      </w:tblGrid>
      <w:tr w:rsidR="00720EA9" w14:paraId="6852B0B5" w14:textId="77777777" w:rsidTr="00AA6A2B">
        <w:trPr>
          <w:trHeight w:hRule="exact" w:val="2911"/>
        </w:trPr>
        <w:tc>
          <w:tcPr>
            <w:tcW w:w="15233" w:type="dxa"/>
            <w:shd w:val="clear" w:color="auto" w:fill="FFFFFF" w:themeFill="background1"/>
            <w:vAlign w:val="center"/>
          </w:tcPr>
          <w:p w14:paraId="6527DE2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14:paraId="45819618" w14:textId="77777777" w:rsidR="002B14C2" w:rsidRPr="00DC6619" w:rsidRDefault="002B14C2" w:rsidP="00772063">
            <w:pPr>
              <w:pStyle w:val="TableHeader"/>
              <w:jc w:val="both"/>
              <w:rPr>
                <w:b w:val="0"/>
                <w:color w:val="auto"/>
                <w:sz w:val="20"/>
                <w:szCs w:val="20"/>
              </w:rPr>
            </w:pPr>
          </w:p>
          <w:p w14:paraId="1767E519" w14:textId="5C56EFE0" w:rsidR="002B14C2" w:rsidRPr="00DC6619" w:rsidRDefault="002B14C2" w:rsidP="00772063">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The second column, ‘comments on proposed policy’ relates to the policy explained in the C</w:t>
            </w:r>
            <w:r w:rsidR="00C55D03">
              <w:rPr>
                <w:b w:val="0"/>
                <w:color w:val="auto"/>
                <w:sz w:val="20"/>
                <w:szCs w:val="20"/>
              </w:rPr>
              <w:t xml:space="preserve">onsultation </w:t>
            </w:r>
            <w:r w:rsidRPr="00DC6619">
              <w:rPr>
                <w:b w:val="0"/>
                <w:color w:val="auto"/>
                <w:sz w:val="20"/>
                <w:szCs w:val="20"/>
              </w:rPr>
              <w:t>P</w:t>
            </w:r>
            <w:r w:rsidR="00C55D03">
              <w:rPr>
                <w:b w:val="0"/>
                <w:color w:val="auto"/>
                <w:sz w:val="20"/>
                <w:szCs w:val="20"/>
              </w:rPr>
              <w:t>aper</w:t>
            </w:r>
            <w:r w:rsidRPr="00DC6619">
              <w:rPr>
                <w:b w:val="0"/>
                <w:color w:val="auto"/>
                <w:sz w:val="20"/>
                <w:szCs w:val="20"/>
              </w:rPr>
              <w:t xml:space="preserve"> paragraphs specified. The third column, ‘comments on </w:t>
            </w:r>
            <w:r w:rsidR="00772063">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14:paraId="07CCA369" w14:textId="77777777" w:rsidR="002B14C2" w:rsidRPr="00DC6619" w:rsidRDefault="002B14C2" w:rsidP="00772063">
            <w:pPr>
              <w:pStyle w:val="TableHeader"/>
              <w:jc w:val="both"/>
              <w:rPr>
                <w:b w:val="0"/>
                <w:color w:val="auto"/>
                <w:sz w:val="20"/>
                <w:szCs w:val="20"/>
              </w:rPr>
            </w:pPr>
          </w:p>
          <w:p w14:paraId="50A5B6E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14:paraId="0065B760" w14:textId="77777777" w:rsidR="002B14C2" w:rsidRPr="00DC6619" w:rsidRDefault="002B14C2" w:rsidP="00772063">
            <w:pPr>
              <w:pStyle w:val="TableHeader"/>
              <w:jc w:val="both"/>
              <w:rPr>
                <w:b w:val="0"/>
                <w:color w:val="auto"/>
                <w:sz w:val="20"/>
                <w:szCs w:val="20"/>
              </w:rPr>
            </w:pPr>
          </w:p>
          <w:p w14:paraId="593884FD" w14:textId="77777777" w:rsidR="00D41215" w:rsidRPr="00AD036C" w:rsidRDefault="002B14C2" w:rsidP="00772063">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14:paraId="2CFC9813" w14:textId="77777777" w:rsidR="00781157" w:rsidRDefault="00781157">
      <w:pPr>
        <w:rPr>
          <w:color w:val="auto"/>
          <w:sz w:val="24"/>
        </w:rPr>
      </w:pPr>
    </w:p>
    <w:tbl>
      <w:tblPr>
        <w:tblStyle w:val="TableGrid"/>
        <w:tblW w:w="1523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786"/>
        <w:gridCol w:w="9450"/>
      </w:tblGrid>
      <w:tr w:rsidR="00781157" w:rsidRPr="00D41215" w14:paraId="38760779" w14:textId="77777777" w:rsidTr="000F7BC0">
        <w:trPr>
          <w:trHeight w:val="227"/>
          <w:tblHeader/>
        </w:trPr>
        <w:tc>
          <w:tcPr>
            <w:tcW w:w="5786" w:type="dxa"/>
            <w:vAlign w:val="center"/>
          </w:tcPr>
          <w:p w14:paraId="7162CA4B" w14:textId="77777777" w:rsidR="00781157" w:rsidRPr="00D41215" w:rsidRDefault="00781157" w:rsidP="00F64A58">
            <w:pPr>
              <w:ind w:left="176"/>
              <w:rPr>
                <w:b/>
                <w:sz w:val="22"/>
                <w:szCs w:val="16"/>
              </w:rPr>
            </w:pPr>
            <w:r w:rsidRPr="00310308">
              <w:rPr>
                <w:b/>
                <w:color w:val="auto"/>
                <w:sz w:val="22"/>
                <w:szCs w:val="16"/>
              </w:rPr>
              <w:t>Name of individual / entity providing comments:</w:t>
            </w:r>
          </w:p>
        </w:tc>
        <w:tc>
          <w:tcPr>
            <w:tcW w:w="9450" w:type="dxa"/>
            <w:vAlign w:val="center"/>
          </w:tcPr>
          <w:p w14:paraId="75F7A4B1" w14:textId="77777777" w:rsidR="00781157" w:rsidRPr="00D41215" w:rsidRDefault="00781157" w:rsidP="00F64A58">
            <w:pPr>
              <w:ind w:firstLine="176"/>
              <w:rPr>
                <w:color w:val="auto"/>
                <w:sz w:val="22"/>
              </w:rPr>
            </w:pPr>
          </w:p>
        </w:tc>
      </w:tr>
    </w:tbl>
    <w:p w14:paraId="23097976" w14:textId="77777777" w:rsidR="00781157" w:rsidRDefault="00781157">
      <w:pPr>
        <w:rPr>
          <w:color w:val="auto"/>
          <w:sz w:val="24"/>
        </w:rPr>
      </w:pPr>
    </w:p>
    <w:tbl>
      <w:tblPr>
        <w:tblStyle w:val="TableGrid"/>
        <w:tblW w:w="15233"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381"/>
        <w:gridCol w:w="6926"/>
        <w:gridCol w:w="6926"/>
      </w:tblGrid>
      <w:tr w:rsidR="000C5C06" w:rsidRPr="00D41215" w14:paraId="5401AF90" w14:textId="77777777" w:rsidTr="000F7BC0">
        <w:trPr>
          <w:trHeight w:hRule="exact" w:val="388"/>
          <w:tblHeader/>
        </w:trPr>
        <w:tc>
          <w:tcPr>
            <w:tcW w:w="1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3D8568CD" w14:textId="77777777" w:rsidR="000C5C06" w:rsidRPr="00D41215" w:rsidRDefault="000C5C06" w:rsidP="00F64A58">
            <w:pPr>
              <w:pStyle w:val="TableHeader"/>
              <w:rPr>
                <w:szCs w:val="2"/>
              </w:rPr>
            </w:pPr>
            <w:r>
              <w:rPr>
                <w:szCs w:val="2"/>
              </w:rPr>
              <w:t xml:space="preserve">No. </w:t>
            </w:r>
          </w:p>
        </w:tc>
        <w:tc>
          <w:tcPr>
            <w:tcW w:w="6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42125E82" w14:textId="77777777" w:rsidR="000C5C06" w:rsidRPr="00D41215" w:rsidRDefault="000C5C06" w:rsidP="00F64A58">
            <w:pPr>
              <w:pStyle w:val="TableHeader"/>
              <w:jc w:val="center"/>
              <w:rPr>
                <w:szCs w:val="2"/>
              </w:rPr>
            </w:pPr>
            <w:r>
              <w:rPr>
                <w:szCs w:val="2"/>
              </w:rPr>
              <w:t>Comments on proposed policy</w:t>
            </w:r>
          </w:p>
        </w:tc>
        <w:tc>
          <w:tcPr>
            <w:tcW w:w="6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55C0797E" w14:textId="77777777" w:rsidR="000C5C06" w:rsidRPr="00D41215" w:rsidRDefault="000C5C06" w:rsidP="00772063">
            <w:pPr>
              <w:pStyle w:val="TableHeader"/>
              <w:jc w:val="center"/>
              <w:rPr>
                <w:szCs w:val="2"/>
              </w:rPr>
            </w:pPr>
            <w:r>
              <w:rPr>
                <w:szCs w:val="2"/>
              </w:rPr>
              <w:t>Comments on legislation</w:t>
            </w:r>
          </w:p>
        </w:tc>
      </w:tr>
      <w:tr w:rsidR="000C5C06" w:rsidRPr="00D41215" w14:paraId="58D556AC" w14:textId="77777777" w:rsidTr="00BF56DD">
        <w:trPr>
          <w:trHeight w:hRule="exact" w:val="668"/>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72A58654" w14:textId="16B31EDB" w:rsidR="00BF56DD" w:rsidRPr="00BF56DD" w:rsidRDefault="00B245B6" w:rsidP="00BF56DD">
            <w:pPr>
              <w:pStyle w:val="TableHeader"/>
              <w:rPr>
                <w:bCs/>
                <w:color w:val="auto"/>
                <w:szCs w:val="2"/>
                <w:lang w:val="en-GB"/>
              </w:rPr>
            </w:pPr>
            <w:bookmarkStart w:id="0" w:name="_Hlk120534488"/>
            <w:r>
              <w:rPr>
                <w:bCs/>
                <w:color w:val="auto"/>
                <w:szCs w:val="2"/>
                <w:lang w:val="en-GB"/>
              </w:rPr>
              <w:t>Proposed Legislation</w:t>
            </w:r>
          </w:p>
          <w:p w14:paraId="5FB90A84" w14:textId="293508F6" w:rsidR="000C5C06" w:rsidRPr="00C70806" w:rsidRDefault="000C5C06" w:rsidP="0002712A">
            <w:pPr>
              <w:pStyle w:val="TableHeader"/>
              <w:rPr>
                <w:bCs/>
                <w:color w:val="auto"/>
                <w:szCs w:val="2"/>
              </w:rPr>
            </w:pPr>
          </w:p>
        </w:tc>
      </w:tr>
      <w:tr w:rsidR="000C5C06" w:rsidRPr="00D41215" w14:paraId="2118E2B6"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B6AF3D5" w14:textId="14369460" w:rsidR="000C5C06" w:rsidRPr="007B3715" w:rsidRDefault="000C5C06" w:rsidP="0002712A">
            <w:pPr>
              <w:pStyle w:val="TableHeader"/>
              <w:tabs>
                <w:tab w:val="left" w:pos="540"/>
              </w:tabs>
              <w:ind w:left="484" w:hanging="484"/>
              <w:jc w:val="both"/>
              <w:rPr>
                <w:bCs/>
                <w:color w:val="auto"/>
                <w:szCs w:val="2"/>
                <w:lang w:val="en-GB"/>
              </w:rPr>
            </w:pPr>
            <w:bookmarkStart w:id="1" w:name="_Hlk120535276"/>
            <w:bookmarkEnd w:id="0"/>
            <w:r w:rsidRPr="00C70806">
              <w:rPr>
                <w:bCs/>
                <w:color w:val="auto"/>
                <w:szCs w:val="2"/>
              </w:rPr>
              <w:t>Q1:</w:t>
            </w:r>
            <w:r w:rsidR="00FF246C">
              <w:rPr>
                <w:bCs/>
                <w:color w:val="auto"/>
                <w:szCs w:val="2"/>
              </w:rPr>
              <w:t xml:space="preserve"> </w:t>
            </w:r>
            <w:r w:rsidRPr="000C5C06">
              <w:rPr>
                <w:b w:val="0"/>
                <w:color w:val="auto"/>
                <w:szCs w:val="2"/>
              </w:rPr>
              <w:t xml:space="preserve"> </w:t>
            </w:r>
            <w:r w:rsidR="00B245B6" w:rsidRPr="00B245B6">
              <w:rPr>
                <w:bCs/>
                <w:color w:val="auto"/>
                <w:szCs w:val="2"/>
              </w:rPr>
              <w:t xml:space="preserve">Article 8A(3) allows the DIFC Courts, if appropriate in the circumstances, to modify or develop a doctrine, cause of action, </w:t>
            </w:r>
            <w:proofErr w:type="spellStart"/>
            <w:r w:rsidR="00B245B6" w:rsidRPr="00B245B6">
              <w:rPr>
                <w:bCs/>
                <w:color w:val="auto"/>
                <w:szCs w:val="2"/>
              </w:rPr>
              <w:t>defence</w:t>
            </w:r>
            <w:proofErr w:type="spellEnd"/>
            <w:r w:rsidR="00B245B6" w:rsidRPr="00B245B6">
              <w:rPr>
                <w:bCs/>
                <w:color w:val="auto"/>
                <w:szCs w:val="2"/>
              </w:rPr>
              <w:t xml:space="preserve"> or remedy that exists under English common law (but that has not been expressly incorporated into DIFC Law by DIFC Statute). See paragraph 28 of this Consultation Paper for further reference.  Do you agree that it is sufficiently clear that in exercising its modification/development power, the DIFC Courts may have reference to other common law jurisdictions? If not, please provide details</w:t>
            </w:r>
          </w:p>
        </w:tc>
      </w:tr>
      <w:bookmarkEnd w:id="1"/>
      <w:tr w:rsidR="000C5C06" w:rsidRPr="00D41215" w14:paraId="449FBDFE"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2BE19A9"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1EB556A"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C38A85D" w14:textId="77777777" w:rsidR="000C5C06" w:rsidRPr="000C5C06" w:rsidRDefault="000C5C06" w:rsidP="000C5C06">
            <w:pPr>
              <w:pStyle w:val="TableHeader"/>
              <w:rPr>
                <w:b w:val="0"/>
                <w:color w:val="auto"/>
                <w:szCs w:val="2"/>
              </w:rPr>
            </w:pPr>
          </w:p>
        </w:tc>
      </w:tr>
      <w:tr w:rsidR="000C5C06" w:rsidRPr="00D41215" w14:paraId="2F8967A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F489AAE"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F62E425"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FD73E99" w14:textId="77777777" w:rsidR="000C5C06" w:rsidRPr="000C5C06" w:rsidRDefault="000C5C06" w:rsidP="000C5C06">
            <w:pPr>
              <w:pStyle w:val="TableHeader"/>
              <w:rPr>
                <w:b w:val="0"/>
                <w:color w:val="auto"/>
                <w:szCs w:val="2"/>
              </w:rPr>
            </w:pPr>
          </w:p>
        </w:tc>
      </w:tr>
      <w:tr w:rsidR="000C5C06" w:rsidRPr="00D41215" w14:paraId="2AA6B846" w14:textId="77777777" w:rsidTr="000F7BC0">
        <w:trPr>
          <w:trHeight w:hRule="exact" w:val="600"/>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455A0CB8" w14:textId="0B4960BF" w:rsidR="000C5C06" w:rsidRPr="000C5C06" w:rsidRDefault="000C5C06" w:rsidP="0002712A">
            <w:pPr>
              <w:pStyle w:val="TableHeader"/>
              <w:ind w:left="484" w:hanging="484"/>
              <w:jc w:val="both"/>
              <w:rPr>
                <w:color w:val="auto"/>
                <w:szCs w:val="2"/>
              </w:rPr>
            </w:pPr>
            <w:r w:rsidRPr="000C5C06">
              <w:rPr>
                <w:color w:val="auto"/>
                <w:szCs w:val="2"/>
              </w:rPr>
              <w:lastRenderedPageBreak/>
              <w:t xml:space="preserve">Q2: </w:t>
            </w:r>
            <w:r w:rsidR="00FF246C">
              <w:rPr>
                <w:color w:val="auto"/>
                <w:szCs w:val="2"/>
              </w:rPr>
              <w:t xml:space="preserve"> </w:t>
            </w:r>
            <w:r w:rsidR="00BB75F6" w:rsidRPr="00BB75F6">
              <w:rPr>
                <w:color w:val="auto"/>
                <w:szCs w:val="2"/>
              </w:rPr>
              <w:t>Do you have any comments, proposed amendments or other suggestions in respect of the Proposed Legislation?</w:t>
            </w:r>
          </w:p>
        </w:tc>
      </w:tr>
      <w:tr w:rsidR="000C5C06" w:rsidRPr="00D41215" w14:paraId="370450C2"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8F82F91"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445BB39"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22C429D" w14:textId="77777777" w:rsidR="000C5C06" w:rsidRPr="000C5C06" w:rsidRDefault="000C5C06" w:rsidP="000C5C06">
            <w:pPr>
              <w:pStyle w:val="TableHeader"/>
              <w:rPr>
                <w:b w:val="0"/>
                <w:color w:val="auto"/>
                <w:szCs w:val="2"/>
              </w:rPr>
            </w:pPr>
          </w:p>
        </w:tc>
      </w:tr>
      <w:tr w:rsidR="000C5C06" w:rsidRPr="00D41215" w14:paraId="18A10CC3"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B9B0682"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5556F82"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9A3B699" w14:textId="77777777" w:rsidR="000C5C06" w:rsidRPr="000C5C06" w:rsidRDefault="000C5C06" w:rsidP="000C5C06">
            <w:pPr>
              <w:pStyle w:val="TableHeader"/>
              <w:rPr>
                <w:b w:val="0"/>
                <w:color w:val="auto"/>
                <w:szCs w:val="2"/>
              </w:rPr>
            </w:pPr>
          </w:p>
        </w:tc>
      </w:tr>
      <w:tr w:rsidR="000C5C06" w:rsidRPr="00D41215" w14:paraId="135D7C56" w14:textId="77777777" w:rsidTr="00A36004">
        <w:trPr>
          <w:trHeight w:hRule="exact" w:val="899"/>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7012914F" w14:textId="21C0F2FD" w:rsidR="000C5C06" w:rsidRPr="00EC4D9C" w:rsidRDefault="00C105AC" w:rsidP="0002712A">
            <w:pPr>
              <w:pStyle w:val="TableHeader"/>
              <w:tabs>
                <w:tab w:val="left" w:pos="570"/>
              </w:tabs>
              <w:ind w:left="484" w:hanging="484"/>
              <w:jc w:val="both"/>
              <w:rPr>
                <w:color w:val="auto"/>
                <w:szCs w:val="2"/>
                <w:lang w:val="en-GB"/>
              </w:rPr>
            </w:pPr>
            <w:r>
              <w:rPr>
                <w:color w:val="auto"/>
                <w:szCs w:val="2"/>
              </w:rPr>
              <w:t>Q</w:t>
            </w:r>
            <w:r w:rsidR="00B462E3">
              <w:rPr>
                <w:color w:val="auto"/>
                <w:szCs w:val="2"/>
              </w:rPr>
              <w:t>3</w:t>
            </w:r>
            <w:r w:rsidR="000C5C06">
              <w:rPr>
                <w:color w:val="auto"/>
                <w:szCs w:val="2"/>
              </w:rPr>
              <w:t xml:space="preserve">: </w:t>
            </w:r>
            <w:r w:rsidR="00FF246C">
              <w:rPr>
                <w:color w:val="auto"/>
                <w:szCs w:val="2"/>
              </w:rPr>
              <w:t xml:space="preserve"> </w:t>
            </w:r>
            <w:r w:rsidR="00B245B6" w:rsidRPr="00B245B6">
              <w:rPr>
                <w:color w:val="auto"/>
                <w:szCs w:val="2"/>
              </w:rPr>
              <w:t>Are there any issues not included in the Proposed Legislation, which warrant attention  on this topic?  If so, what are they, and why, and how should they be addressed?</w:t>
            </w:r>
          </w:p>
        </w:tc>
      </w:tr>
      <w:tr w:rsidR="000C5C06" w:rsidRPr="00D41215" w14:paraId="11429781"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477B3CE"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F39A107"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0E37669" w14:textId="77777777" w:rsidR="000C5C06" w:rsidRPr="000C5C06" w:rsidRDefault="000C5C06" w:rsidP="000C5C06">
            <w:pPr>
              <w:pStyle w:val="TableHeader"/>
              <w:rPr>
                <w:b w:val="0"/>
                <w:color w:val="auto"/>
                <w:szCs w:val="2"/>
              </w:rPr>
            </w:pPr>
          </w:p>
        </w:tc>
      </w:tr>
      <w:tr w:rsidR="000C5C06" w:rsidRPr="00D41215" w14:paraId="578E285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2BADEEB"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606B9E9"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B16DFA3" w14:textId="77777777" w:rsidR="000C5C06" w:rsidRPr="000C5C06" w:rsidRDefault="000C5C06" w:rsidP="000C5C06">
            <w:pPr>
              <w:pStyle w:val="TableHeader"/>
              <w:rPr>
                <w:b w:val="0"/>
                <w:color w:val="auto"/>
                <w:szCs w:val="2"/>
              </w:rPr>
            </w:pPr>
          </w:p>
        </w:tc>
      </w:tr>
      <w:tr w:rsidR="001A1A8D" w:rsidRPr="001C03BA" w14:paraId="4FE4E511" w14:textId="77777777" w:rsidTr="00CD6598">
        <w:trPr>
          <w:trHeight w:hRule="exact" w:val="730"/>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3AE46F5" w14:textId="5D7D4C6F" w:rsidR="001A1A8D" w:rsidRPr="001C03BA" w:rsidRDefault="00B462E3" w:rsidP="0002712A">
            <w:pPr>
              <w:pStyle w:val="TableHeader"/>
              <w:tabs>
                <w:tab w:val="left" w:pos="585"/>
              </w:tabs>
              <w:ind w:left="484" w:hanging="484"/>
              <w:jc w:val="both"/>
              <w:rPr>
                <w:bCs/>
                <w:color w:val="auto"/>
                <w:szCs w:val="2"/>
              </w:rPr>
            </w:pPr>
            <w:bookmarkStart w:id="2" w:name="_Hlk120534798"/>
            <w:r w:rsidRPr="001C03BA">
              <w:rPr>
                <w:bCs/>
                <w:color w:val="auto"/>
                <w:szCs w:val="2"/>
              </w:rPr>
              <w:t>Q4</w:t>
            </w:r>
            <w:r w:rsidR="00E44F1E" w:rsidRPr="001C03BA">
              <w:rPr>
                <w:bCs/>
                <w:color w:val="auto"/>
                <w:szCs w:val="2"/>
              </w:rPr>
              <w:t>:</w:t>
            </w:r>
            <w:r w:rsidR="003C2D71" w:rsidRPr="001C03BA">
              <w:rPr>
                <w:rFonts w:cstheme="minorHAnsi"/>
                <w:bCs/>
                <w:color w:val="191851"/>
                <w:spacing w:val="1"/>
                <w:sz w:val="18"/>
                <w:szCs w:val="22"/>
                <w:lang w:eastAsia="zh-CN"/>
              </w:rPr>
              <w:t xml:space="preserve"> </w:t>
            </w:r>
            <w:r w:rsidR="00FF246C" w:rsidRPr="001C03BA">
              <w:rPr>
                <w:rFonts w:cstheme="minorHAnsi"/>
                <w:bCs/>
                <w:color w:val="191851"/>
                <w:spacing w:val="1"/>
                <w:sz w:val="18"/>
                <w:szCs w:val="22"/>
                <w:lang w:eastAsia="zh-CN"/>
              </w:rPr>
              <w:t xml:space="preserve"> </w:t>
            </w:r>
            <w:r w:rsidR="00B245B6" w:rsidRPr="00B245B6">
              <w:rPr>
                <w:bCs/>
                <w:color w:val="auto"/>
                <w:szCs w:val="2"/>
              </w:rPr>
              <w:t>If you do not agree with the approach set out in the Proposed Legislation (either in relation to the Source of Law Issue or the Interpretation issue, or both) what alternative approach would you suggest to dealing with the matters raised by Industrial Group?</w:t>
            </w:r>
          </w:p>
        </w:tc>
      </w:tr>
      <w:bookmarkEnd w:id="2"/>
      <w:tr w:rsidR="00692816" w:rsidRPr="00D41215" w14:paraId="68587FD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4E89B28" w14:textId="77777777" w:rsidR="00692816" w:rsidRPr="004E568E" w:rsidRDefault="00692816"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A953635" w14:textId="77777777" w:rsidR="00692816" w:rsidRPr="004E568E" w:rsidRDefault="00692816"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94D5F94" w14:textId="77777777" w:rsidR="00692816" w:rsidRPr="004E568E" w:rsidRDefault="00692816" w:rsidP="000C5C06">
            <w:pPr>
              <w:pStyle w:val="TableHeader"/>
              <w:rPr>
                <w:bCs/>
                <w:color w:val="auto"/>
                <w:szCs w:val="2"/>
              </w:rPr>
            </w:pPr>
          </w:p>
        </w:tc>
      </w:tr>
      <w:tr w:rsidR="001C03BA" w:rsidRPr="00D41215" w14:paraId="4F12E23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990040B"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4F7D590"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2C8DEA9" w14:textId="77777777" w:rsidR="001C03BA" w:rsidRPr="004E568E" w:rsidRDefault="001C03BA" w:rsidP="000C5C06">
            <w:pPr>
              <w:pStyle w:val="TableHeader"/>
              <w:rPr>
                <w:bCs/>
                <w:color w:val="auto"/>
                <w:szCs w:val="2"/>
              </w:rPr>
            </w:pPr>
          </w:p>
        </w:tc>
      </w:tr>
      <w:tr w:rsidR="001C03BA" w:rsidRPr="001C03BA" w14:paraId="33831EAA" w14:textId="77777777" w:rsidTr="00CD6598">
        <w:trPr>
          <w:trHeight w:hRule="exact" w:val="729"/>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3CF51D5" w14:textId="71B167C6" w:rsidR="001C03BA" w:rsidRPr="001C03BA" w:rsidRDefault="00B245B6" w:rsidP="009556AC">
            <w:pPr>
              <w:pStyle w:val="TableHeader"/>
              <w:tabs>
                <w:tab w:val="left" w:pos="585"/>
              </w:tabs>
              <w:ind w:left="484" w:hanging="484"/>
              <w:jc w:val="both"/>
              <w:rPr>
                <w:bCs/>
                <w:color w:val="auto"/>
                <w:szCs w:val="2"/>
              </w:rPr>
            </w:pPr>
            <w:bookmarkStart w:id="3" w:name="_Hlk120534974"/>
            <w:r>
              <w:rPr>
                <w:bCs/>
                <w:color w:val="auto"/>
                <w:szCs w:val="2"/>
              </w:rPr>
              <w:t xml:space="preserve">Q5:  </w:t>
            </w:r>
            <w:r w:rsidRPr="00B245B6">
              <w:rPr>
                <w:bCs/>
                <w:color w:val="auto"/>
                <w:szCs w:val="2"/>
              </w:rPr>
              <w:t xml:space="preserve">Can you identify any ‘gaps’ in DIFC law that are not covered by a DIFC Statute, and which would require the importation of a common law doctrine, cause of action, </w:t>
            </w:r>
            <w:proofErr w:type="spellStart"/>
            <w:r w:rsidRPr="00B245B6">
              <w:rPr>
                <w:bCs/>
                <w:color w:val="auto"/>
                <w:szCs w:val="2"/>
              </w:rPr>
              <w:t>defence</w:t>
            </w:r>
            <w:proofErr w:type="spellEnd"/>
            <w:r w:rsidRPr="00B245B6">
              <w:rPr>
                <w:bCs/>
                <w:color w:val="auto"/>
                <w:szCs w:val="2"/>
              </w:rPr>
              <w:t xml:space="preserve"> and/or remedy to address?</w:t>
            </w:r>
          </w:p>
        </w:tc>
      </w:tr>
      <w:bookmarkEnd w:id="3"/>
      <w:tr w:rsidR="001C03BA" w:rsidRPr="00D41215" w14:paraId="14D8287C"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27D5C9B"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E566D1E"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4A4E454" w14:textId="77777777" w:rsidR="001C03BA" w:rsidRPr="004E568E" w:rsidRDefault="001C03BA" w:rsidP="000C5C06">
            <w:pPr>
              <w:pStyle w:val="TableHeader"/>
              <w:rPr>
                <w:bCs/>
                <w:color w:val="auto"/>
                <w:szCs w:val="2"/>
              </w:rPr>
            </w:pPr>
          </w:p>
        </w:tc>
      </w:tr>
      <w:tr w:rsidR="001C03BA" w:rsidRPr="00D41215" w14:paraId="478BC4B9"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395D8D7"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6AC87FF"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3EA1DF4" w14:textId="77777777" w:rsidR="001C03BA" w:rsidRPr="004E568E" w:rsidRDefault="001C03BA" w:rsidP="000C5C06">
            <w:pPr>
              <w:pStyle w:val="TableHeader"/>
              <w:rPr>
                <w:bCs/>
                <w:color w:val="auto"/>
                <w:szCs w:val="2"/>
              </w:rPr>
            </w:pPr>
          </w:p>
        </w:tc>
      </w:tr>
      <w:tr w:rsidR="00F70F1E" w:rsidRPr="004E568E" w14:paraId="1C4BA2AF" w14:textId="77777777" w:rsidTr="000F7BC0">
        <w:trPr>
          <w:trHeight w:hRule="exact" w:val="388"/>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2FDC160D" w14:textId="78FA4F42" w:rsidR="00F70F1E" w:rsidRPr="00447CDD" w:rsidRDefault="00F70F1E" w:rsidP="00CC41F1">
            <w:pPr>
              <w:pStyle w:val="TableHeader"/>
              <w:rPr>
                <w:bCs/>
                <w:color w:val="auto"/>
                <w:szCs w:val="2"/>
                <w:lang w:val="en-GB"/>
              </w:rPr>
            </w:pPr>
            <w:r>
              <w:rPr>
                <w:bCs/>
                <w:color w:val="auto"/>
                <w:szCs w:val="2"/>
                <w:shd w:val="clear" w:color="auto" w:fill="0D0D2D" w:themeFill="text1"/>
                <w:lang w:val="en-GB"/>
              </w:rPr>
              <w:t>Other or</w:t>
            </w:r>
            <w:r w:rsidRPr="00310308">
              <w:rPr>
                <w:bCs/>
                <w:color w:val="auto"/>
                <w:szCs w:val="2"/>
                <w:shd w:val="clear" w:color="auto" w:fill="0D0D2D" w:themeFill="text1"/>
                <w:lang w:val="en-GB"/>
              </w:rPr>
              <w:t xml:space="preserve"> general comments</w:t>
            </w:r>
          </w:p>
          <w:p w14:paraId="2946CDA3" w14:textId="77777777" w:rsidR="00F70F1E" w:rsidRPr="004E568E" w:rsidRDefault="00F70F1E" w:rsidP="00CC41F1">
            <w:pPr>
              <w:pStyle w:val="TableHeader"/>
              <w:rPr>
                <w:bCs/>
                <w:color w:val="auto"/>
                <w:szCs w:val="2"/>
              </w:rPr>
            </w:pPr>
          </w:p>
        </w:tc>
      </w:tr>
      <w:tr w:rsidR="00F70F1E" w:rsidRPr="004E568E" w14:paraId="66E7F37B"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CACDD75"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EB888BA"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8621C63" w14:textId="77777777" w:rsidR="00F70F1E" w:rsidRPr="004E568E" w:rsidRDefault="00F70F1E" w:rsidP="00CC41F1">
            <w:pPr>
              <w:pStyle w:val="TableHeader"/>
              <w:rPr>
                <w:bCs/>
                <w:color w:val="auto"/>
                <w:szCs w:val="2"/>
              </w:rPr>
            </w:pPr>
          </w:p>
        </w:tc>
      </w:tr>
      <w:tr w:rsidR="00F70F1E" w:rsidRPr="004E568E" w14:paraId="4FAA8C8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B7496B7"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2C6CCEF"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FB0E0BD" w14:textId="77777777" w:rsidR="00F70F1E" w:rsidRPr="004E568E" w:rsidRDefault="00F70F1E" w:rsidP="00CC41F1">
            <w:pPr>
              <w:pStyle w:val="TableHeader"/>
              <w:rPr>
                <w:bCs/>
                <w:color w:val="auto"/>
                <w:szCs w:val="2"/>
              </w:rPr>
            </w:pPr>
          </w:p>
        </w:tc>
      </w:tr>
    </w:tbl>
    <w:p w14:paraId="26598409" w14:textId="77777777" w:rsidR="00F70F1E" w:rsidRDefault="00F70F1E" w:rsidP="00F70F1E">
      <w:pPr>
        <w:rPr>
          <w:lang w:val="en-GB"/>
        </w:rPr>
      </w:pPr>
    </w:p>
    <w:sectPr w:rsidR="00F70F1E" w:rsidSect="00D92753">
      <w:headerReference w:type="default" r:id="rId11"/>
      <w:footerReference w:type="even" r:id="rId12"/>
      <w:footerReference w:type="default" r:id="rId13"/>
      <w:footerReference w:type="first" r:id="rId14"/>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8B1E" w14:textId="77777777" w:rsidR="00C35676" w:rsidRDefault="00C35676" w:rsidP="001072C8">
      <w:r>
        <w:separator/>
      </w:r>
    </w:p>
    <w:p w14:paraId="5E20BD10" w14:textId="77777777" w:rsidR="00C35676" w:rsidRDefault="00C35676" w:rsidP="001072C8"/>
    <w:p w14:paraId="2901ED60" w14:textId="77777777" w:rsidR="00C35676" w:rsidRDefault="00C35676" w:rsidP="001072C8"/>
  </w:endnote>
  <w:endnote w:type="continuationSeparator" w:id="0">
    <w:p w14:paraId="6C04921B" w14:textId="77777777" w:rsidR="00C35676" w:rsidRDefault="00C35676" w:rsidP="001072C8">
      <w:r>
        <w:continuationSeparator/>
      </w:r>
    </w:p>
    <w:p w14:paraId="0665FBA4" w14:textId="77777777" w:rsidR="00C35676" w:rsidRDefault="00C35676" w:rsidP="001072C8"/>
    <w:p w14:paraId="1173705D" w14:textId="77777777" w:rsidR="00C35676" w:rsidRDefault="00C35676"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DD28"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2</w:t>
    </w:r>
    <w:r>
      <w:rPr>
        <w:rStyle w:val="PageNumber"/>
      </w:rPr>
      <w:fldChar w:fldCharType="end"/>
    </w:r>
  </w:p>
  <w:p w14:paraId="244F03ED" w14:textId="3DEA5322" w:rsidR="00907366" w:rsidRPr="00F57773" w:rsidRDefault="00F57773" w:rsidP="00F57773">
    <w:pPr>
      <w:ind w:right="-122"/>
      <w:jc w:val="both"/>
      <w:rPr>
        <w:color w:val="17174F" w:themeColor="text1" w:themeTint="E6"/>
        <w:sz w:val="14"/>
        <w:szCs w:val="14"/>
      </w:rPr>
    </w:pPr>
    <w:r w:rsidRPr="00E137E6">
      <w:rPr>
        <w:color w:val="17174F" w:themeColor="text1" w:themeTint="E6"/>
        <w:sz w:val="14"/>
        <w:szCs w:val="14"/>
      </w:rPr>
      <w:t xml:space="preserve">Any personal data provided by you will be used, recorded and processed by us in accordance with the relevant statutory basis including the Data protection law </w:t>
    </w:r>
    <w:r w:rsidR="00A36004">
      <w:rPr>
        <w:color w:val="17174F" w:themeColor="text1" w:themeTint="E6"/>
        <w:sz w:val="14"/>
        <w:szCs w:val="14"/>
      </w:rPr>
      <w:t>2020</w:t>
    </w:r>
    <w:r w:rsidRPr="00E137E6">
      <w:rPr>
        <w:color w:val="17174F" w:themeColor="text1" w:themeTint="E6"/>
        <w:sz w:val="14"/>
        <w:szCs w:val="14"/>
      </w:rPr>
      <w:t>,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546F" w14:textId="77777777" w:rsidR="00907366" w:rsidRDefault="00907366" w:rsidP="00F577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3</w:t>
    </w:r>
    <w:r>
      <w:rPr>
        <w:rStyle w:val="PageNumber"/>
      </w:rPr>
      <w:fldChar w:fldCharType="end"/>
    </w:r>
  </w:p>
  <w:p w14:paraId="42F0FAC5" w14:textId="77777777" w:rsidR="00907366" w:rsidRDefault="00907366" w:rsidP="00F57773">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C46B"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1</w:t>
    </w:r>
    <w:r>
      <w:rPr>
        <w:rStyle w:val="PageNumber"/>
      </w:rPr>
      <w:fldChar w:fldCharType="end"/>
    </w:r>
  </w:p>
  <w:p w14:paraId="3C6122A0" w14:textId="77777777" w:rsidR="00907366" w:rsidRPr="00E137E6" w:rsidRDefault="00022AE4" w:rsidP="00022AE4">
    <w:pPr>
      <w:ind w:right="-122"/>
      <w:jc w:val="both"/>
      <w:rPr>
        <w:color w:val="17174F" w:themeColor="text1" w:themeTint="E6"/>
        <w:sz w:val="14"/>
        <w:szCs w:val="14"/>
      </w:rPr>
    </w:pPr>
    <w:r w:rsidRPr="00022AE4">
      <w:rPr>
        <w:color w:val="17174F" w:themeColor="text1" w:themeTint="E6"/>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0083" w14:textId="77777777" w:rsidR="00C35676" w:rsidRDefault="00C35676" w:rsidP="001072C8">
      <w:r>
        <w:separator/>
      </w:r>
    </w:p>
    <w:p w14:paraId="48236746" w14:textId="77777777" w:rsidR="00C35676" w:rsidRDefault="00C35676" w:rsidP="001072C8"/>
    <w:p w14:paraId="113DBF6D" w14:textId="77777777" w:rsidR="00C35676" w:rsidRDefault="00C35676" w:rsidP="001072C8"/>
  </w:footnote>
  <w:footnote w:type="continuationSeparator" w:id="0">
    <w:p w14:paraId="63C64E34" w14:textId="77777777" w:rsidR="00C35676" w:rsidRDefault="00C35676" w:rsidP="001072C8">
      <w:r>
        <w:continuationSeparator/>
      </w:r>
    </w:p>
    <w:p w14:paraId="49B3073E" w14:textId="77777777" w:rsidR="00C35676" w:rsidRDefault="00C35676" w:rsidP="001072C8"/>
    <w:p w14:paraId="7429B401" w14:textId="77777777" w:rsidR="00C35676" w:rsidRDefault="00C35676"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4210" w14:textId="77777777" w:rsidR="00907366" w:rsidRPr="00D85F40" w:rsidRDefault="00907366" w:rsidP="001072C8">
    <w:pPr>
      <w:pStyle w:val="Header"/>
    </w:pPr>
    <w:r>
      <w:tab/>
    </w:r>
  </w:p>
  <w:p w14:paraId="6BB74304" w14:textId="77777777" w:rsidR="00907366" w:rsidRDefault="00907366" w:rsidP="001072C8"/>
  <w:p w14:paraId="7092DD2C" w14:textId="77777777" w:rsidR="00907366" w:rsidRDefault="00907366" w:rsidP="001072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241215">
    <w:abstractNumId w:val="11"/>
  </w:num>
  <w:num w:numId="2" w16cid:durableId="1561941442">
    <w:abstractNumId w:val="10"/>
  </w:num>
  <w:num w:numId="3" w16cid:durableId="1164855038">
    <w:abstractNumId w:val="8"/>
  </w:num>
  <w:num w:numId="4" w16cid:durableId="1429084260">
    <w:abstractNumId w:val="7"/>
  </w:num>
  <w:num w:numId="5" w16cid:durableId="1272054427">
    <w:abstractNumId w:val="6"/>
  </w:num>
  <w:num w:numId="6" w16cid:durableId="660039107">
    <w:abstractNumId w:val="5"/>
  </w:num>
  <w:num w:numId="7" w16cid:durableId="2071420298">
    <w:abstractNumId w:val="9"/>
  </w:num>
  <w:num w:numId="8" w16cid:durableId="418984756">
    <w:abstractNumId w:val="4"/>
  </w:num>
  <w:num w:numId="9" w16cid:durableId="302344843">
    <w:abstractNumId w:val="3"/>
  </w:num>
  <w:num w:numId="10" w16cid:durableId="489638810">
    <w:abstractNumId w:val="2"/>
  </w:num>
  <w:num w:numId="11" w16cid:durableId="1038046749">
    <w:abstractNumId w:val="1"/>
  </w:num>
  <w:num w:numId="12" w16cid:durableId="440612148">
    <w:abstractNumId w:val="0"/>
  </w:num>
  <w:num w:numId="13" w16cid:durableId="15976642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4C"/>
    <w:rsid w:val="00001A56"/>
    <w:rsid w:val="0001119D"/>
    <w:rsid w:val="00022AE4"/>
    <w:rsid w:val="00026619"/>
    <w:rsid w:val="00026B37"/>
    <w:rsid w:val="0002712A"/>
    <w:rsid w:val="00027A52"/>
    <w:rsid w:val="0003373F"/>
    <w:rsid w:val="00053332"/>
    <w:rsid w:val="000552A3"/>
    <w:rsid w:val="000612A7"/>
    <w:rsid w:val="00066161"/>
    <w:rsid w:val="00074C29"/>
    <w:rsid w:val="000834ED"/>
    <w:rsid w:val="000918D7"/>
    <w:rsid w:val="000949BC"/>
    <w:rsid w:val="000A13B6"/>
    <w:rsid w:val="000A2126"/>
    <w:rsid w:val="000B6705"/>
    <w:rsid w:val="000C5BF2"/>
    <w:rsid w:val="000C5C06"/>
    <w:rsid w:val="000E213A"/>
    <w:rsid w:val="000E7B8B"/>
    <w:rsid w:val="000F4FA7"/>
    <w:rsid w:val="000F7BC0"/>
    <w:rsid w:val="001072C8"/>
    <w:rsid w:val="0011121D"/>
    <w:rsid w:val="001149EA"/>
    <w:rsid w:val="00116580"/>
    <w:rsid w:val="00135E47"/>
    <w:rsid w:val="0013709A"/>
    <w:rsid w:val="00144349"/>
    <w:rsid w:val="001515F8"/>
    <w:rsid w:val="001643A8"/>
    <w:rsid w:val="00172B8F"/>
    <w:rsid w:val="001806D0"/>
    <w:rsid w:val="001A1A8D"/>
    <w:rsid w:val="001C00F6"/>
    <w:rsid w:val="001C03BA"/>
    <w:rsid w:val="001C056F"/>
    <w:rsid w:val="001C1204"/>
    <w:rsid w:val="001D5395"/>
    <w:rsid w:val="001E4A42"/>
    <w:rsid w:val="00201E25"/>
    <w:rsid w:val="00205A9D"/>
    <w:rsid w:val="00223C6D"/>
    <w:rsid w:val="00223F57"/>
    <w:rsid w:val="00252D5C"/>
    <w:rsid w:val="00261AB6"/>
    <w:rsid w:val="002701F9"/>
    <w:rsid w:val="00281E12"/>
    <w:rsid w:val="00295171"/>
    <w:rsid w:val="002A3642"/>
    <w:rsid w:val="002B14C2"/>
    <w:rsid w:val="002B4EA8"/>
    <w:rsid w:val="002C1AC4"/>
    <w:rsid w:val="002D56EE"/>
    <w:rsid w:val="003044C4"/>
    <w:rsid w:val="003078EE"/>
    <w:rsid w:val="00307AC3"/>
    <w:rsid w:val="00310308"/>
    <w:rsid w:val="00321DBD"/>
    <w:rsid w:val="00322F6F"/>
    <w:rsid w:val="003259F3"/>
    <w:rsid w:val="0036053A"/>
    <w:rsid w:val="00365A9B"/>
    <w:rsid w:val="0037004A"/>
    <w:rsid w:val="003B2274"/>
    <w:rsid w:val="003B72BF"/>
    <w:rsid w:val="003C2D71"/>
    <w:rsid w:val="003C7656"/>
    <w:rsid w:val="003D5B9C"/>
    <w:rsid w:val="003D6C4A"/>
    <w:rsid w:val="00401E5B"/>
    <w:rsid w:val="004126A4"/>
    <w:rsid w:val="00412E5E"/>
    <w:rsid w:val="00413A11"/>
    <w:rsid w:val="00423668"/>
    <w:rsid w:val="00427C2D"/>
    <w:rsid w:val="00430095"/>
    <w:rsid w:val="004355A0"/>
    <w:rsid w:val="00447CDD"/>
    <w:rsid w:val="00450EC9"/>
    <w:rsid w:val="00464C5B"/>
    <w:rsid w:val="00470053"/>
    <w:rsid w:val="004761AB"/>
    <w:rsid w:val="00476B13"/>
    <w:rsid w:val="004845C3"/>
    <w:rsid w:val="00491F1F"/>
    <w:rsid w:val="00493CB7"/>
    <w:rsid w:val="004B1D6C"/>
    <w:rsid w:val="004C4C90"/>
    <w:rsid w:val="004C587D"/>
    <w:rsid w:val="004D48C4"/>
    <w:rsid w:val="004E1091"/>
    <w:rsid w:val="004E568E"/>
    <w:rsid w:val="005171F7"/>
    <w:rsid w:val="00517A94"/>
    <w:rsid w:val="00520627"/>
    <w:rsid w:val="00524D6D"/>
    <w:rsid w:val="005321EB"/>
    <w:rsid w:val="00570C5B"/>
    <w:rsid w:val="0057778F"/>
    <w:rsid w:val="0059235C"/>
    <w:rsid w:val="00594989"/>
    <w:rsid w:val="005B02BC"/>
    <w:rsid w:val="005B2E7C"/>
    <w:rsid w:val="005B6F81"/>
    <w:rsid w:val="005D2468"/>
    <w:rsid w:val="005E0A8B"/>
    <w:rsid w:val="005E5DB2"/>
    <w:rsid w:val="005E5F39"/>
    <w:rsid w:val="006102BB"/>
    <w:rsid w:val="00614B32"/>
    <w:rsid w:val="006438E5"/>
    <w:rsid w:val="006442B4"/>
    <w:rsid w:val="00650BB4"/>
    <w:rsid w:val="00656AD2"/>
    <w:rsid w:val="00664EF4"/>
    <w:rsid w:val="00674A13"/>
    <w:rsid w:val="00684E9E"/>
    <w:rsid w:val="00692816"/>
    <w:rsid w:val="006C1471"/>
    <w:rsid w:val="006C3D5C"/>
    <w:rsid w:val="006C60ED"/>
    <w:rsid w:val="006D3D6E"/>
    <w:rsid w:val="006E1FB5"/>
    <w:rsid w:val="006F783B"/>
    <w:rsid w:val="00703B8F"/>
    <w:rsid w:val="00706E1E"/>
    <w:rsid w:val="00720EA9"/>
    <w:rsid w:val="00730F57"/>
    <w:rsid w:val="007314AE"/>
    <w:rsid w:val="00732F05"/>
    <w:rsid w:val="0073377E"/>
    <w:rsid w:val="00737D37"/>
    <w:rsid w:val="00746751"/>
    <w:rsid w:val="00766E6B"/>
    <w:rsid w:val="00772063"/>
    <w:rsid w:val="00780D7D"/>
    <w:rsid w:val="00781157"/>
    <w:rsid w:val="007839A2"/>
    <w:rsid w:val="00792A61"/>
    <w:rsid w:val="00796050"/>
    <w:rsid w:val="007A34B0"/>
    <w:rsid w:val="007A3A17"/>
    <w:rsid w:val="007A58E9"/>
    <w:rsid w:val="007B3715"/>
    <w:rsid w:val="007D6C7E"/>
    <w:rsid w:val="007E4299"/>
    <w:rsid w:val="0080338D"/>
    <w:rsid w:val="00807716"/>
    <w:rsid w:val="00810A5C"/>
    <w:rsid w:val="0086075C"/>
    <w:rsid w:val="00860FBB"/>
    <w:rsid w:val="0086118A"/>
    <w:rsid w:val="008A2C3E"/>
    <w:rsid w:val="008C7E4A"/>
    <w:rsid w:val="009005D7"/>
    <w:rsid w:val="00907366"/>
    <w:rsid w:val="00940999"/>
    <w:rsid w:val="00941EA6"/>
    <w:rsid w:val="00960F82"/>
    <w:rsid w:val="00965A0F"/>
    <w:rsid w:val="0098357A"/>
    <w:rsid w:val="009903FA"/>
    <w:rsid w:val="009931D7"/>
    <w:rsid w:val="009A1C85"/>
    <w:rsid w:val="009B1E5E"/>
    <w:rsid w:val="009E3B6B"/>
    <w:rsid w:val="009F1748"/>
    <w:rsid w:val="00A0417A"/>
    <w:rsid w:val="00A04A98"/>
    <w:rsid w:val="00A1381F"/>
    <w:rsid w:val="00A36004"/>
    <w:rsid w:val="00A36B15"/>
    <w:rsid w:val="00A37F8D"/>
    <w:rsid w:val="00A532F6"/>
    <w:rsid w:val="00A57117"/>
    <w:rsid w:val="00A615D8"/>
    <w:rsid w:val="00A8154D"/>
    <w:rsid w:val="00A927B6"/>
    <w:rsid w:val="00A9313C"/>
    <w:rsid w:val="00AA037F"/>
    <w:rsid w:val="00AA6A2B"/>
    <w:rsid w:val="00AC4F4C"/>
    <w:rsid w:val="00AD036C"/>
    <w:rsid w:val="00AD165B"/>
    <w:rsid w:val="00AE10DB"/>
    <w:rsid w:val="00AE2EEF"/>
    <w:rsid w:val="00AE4771"/>
    <w:rsid w:val="00AE5120"/>
    <w:rsid w:val="00AE63D9"/>
    <w:rsid w:val="00AF05EC"/>
    <w:rsid w:val="00AF41B5"/>
    <w:rsid w:val="00AF57EC"/>
    <w:rsid w:val="00B0291B"/>
    <w:rsid w:val="00B04A59"/>
    <w:rsid w:val="00B04D68"/>
    <w:rsid w:val="00B13876"/>
    <w:rsid w:val="00B245B6"/>
    <w:rsid w:val="00B37B83"/>
    <w:rsid w:val="00B462E3"/>
    <w:rsid w:val="00B61109"/>
    <w:rsid w:val="00B761FB"/>
    <w:rsid w:val="00B8683D"/>
    <w:rsid w:val="00BA0BD0"/>
    <w:rsid w:val="00BA7423"/>
    <w:rsid w:val="00BB75F6"/>
    <w:rsid w:val="00BD290C"/>
    <w:rsid w:val="00BE4A0B"/>
    <w:rsid w:val="00BF56DD"/>
    <w:rsid w:val="00C105AC"/>
    <w:rsid w:val="00C35676"/>
    <w:rsid w:val="00C42737"/>
    <w:rsid w:val="00C544BF"/>
    <w:rsid w:val="00C55D03"/>
    <w:rsid w:val="00C70806"/>
    <w:rsid w:val="00C8015F"/>
    <w:rsid w:val="00C81BAB"/>
    <w:rsid w:val="00CA006C"/>
    <w:rsid w:val="00CB2072"/>
    <w:rsid w:val="00CC55B3"/>
    <w:rsid w:val="00CC734C"/>
    <w:rsid w:val="00CD6598"/>
    <w:rsid w:val="00CE071A"/>
    <w:rsid w:val="00CE365E"/>
    <w:rsid w:val="00CE60A5"/>
    <w:rsid w:val="00CF7970"/>
    <w:rsid w:val="00D056F8"/>
    <w:rsid w:val="00D06D73"/>
    <w:rsid w:val="00D13407"/>
    <w:rsid w:val="00D140F1"/>
    <w:rsid w:val="00D142D1"/>
    <w:rsid w:val="00D254BE"/>
    <w:rsid w:val="00D41215"/>
    <w:rsid w:val="00D42F0E"/>
    <w:rsid w:val="00D5043D"/>
    <w:rsid w:val="00D515BC"/>
    <w:rsid w:val="00D63449"/>
    <w:rsid w:val="00D67A53"/>
    <w:rsid w:val="00D72CFC"/>
    <w:rsid w:val="00D7438D"/>
    <w:rsid w:val="00D85F40"/>
    <w:rsid w:val="00D91B24"/>
    <w:rsid w:val="00D92753"/>
    <w:rsid w:val="00D930E3"/>
    <w:rsid w:val="00DA3A96"/>
    <w:rsid w:val="00DB252D"/>
    <w:rsid w:val="00DB2ED6"/>
    <w:rsid w:val="00DC6619"/>
    <w:rsid w:val="00DE03F1"/>
    <w:rsid w:val="00DE39DC"/>
    <w:rsid w:val="00DE3E02"/>
    <w:rsid w:val="00E055E8"/>
    <w:rsid w:val="00E123C4"/>
    <w:rsid w:val="00E137E6"/>
    <w:rsid w:val="00E32D5F"/>
    <w:rsid w:val="00E44F1E"/>
    <w:rsid w:val="00E57572"/>
    <w:rsid w:val="00E73A86"/>
    <w:rsid w:val="00E7433D"/>
    <w:rsid w:val="00E7762B"/>
    <w:rsid w:val="00E85E6B"/>
    <w:rsid w:val="00E90F2D"/>
    <w:rsid w:val="00EA3710"/>
    <w:rsid w:val="00EC0DEE"/>
    <w:rsid w:val="00EC4D9C"/>
    <w:rsid w:val="00EC5F78"/>
    <w:rsid w:val="00ED24A9"/>
    <w:rsid w:val="00EE5A15"/>
    <w:rsid w:val="00EE5A62"/>
    <w:rsid w:val="00EE5F18"/>
    <w:rsid w:val="00EF24F6"/>
    <w:rsid w:val="00EF61D5"/>
    <w:rsid w:val="00EF785A"/>
    <w:rsid w:val="00F0114B"/>
    <w:rsid w:val="00F12AD2"/>
    <w:rsid w:val="00F13FF0"/>
    <w:rsid w:val="00F3562C"/>
    <w:rsid w:val="00F36B40"/>
    <w:rsid w:val="00F57773"/>
    <w:rsid w:val="00F70F1E"/>
    <w:rsid w:val="00F91BCE"/>
    <w:rsid w:val="00F953FA"/>
    <w:rsid w:val="00F97E6B"/>
    <w:rsid w:val="00FA579B"/>
    <w:rsid w:val="00FA6591"/>
    <w:rsid w:val="00FB3D4C"/>
    <w:rsid w:val="00FC1E4D"/>
    <w:rsid w:val="00FE0318"/>
    <w:rsid w:val="00FE7EB8"/>
    <w:rsid w:val="00FF2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BC70A"/>
  <w15:docId w15:val="{78A3F244-CB2B-4D48-90FB-11080230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8D"/>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semiHidden/>
    <w:unhideWhenUsed/>
    <w:rsid w:val="007B3715"/>
    <w:pPr>
      <w:spacing w:after="120"/>
    </w:pPr>
  </w:style>
  <w:style w:type="character" w:customStyle="1" w:styleId="BodyTextChar">
    <w:name w:val="Body Text Char"/>
    <w:basedOn w:val="DefaultParagraphFont"/>
    <w:link w:val="BodyText"/>
    <w:uiPriority w:val="99"/>
    <w:semiHidden/>
    <w:rsid w:val="007B3715"/>
    <w:rPr>
      <w:color w:val="10123C" w:themeColor="accent1"/>
      <w:sz w:val="18"/>
    </w:rPr>
  </w:style>
  <w:style w:type="paragraph" w:customStyle="1" w:styleId="4Heading2">
    <w:name w:val="4_Heading 2"/>
    <w:basedOn w:val="Normal"/>
    <w:qFormat/>
    <w:rsid w:val="00A36B15"/>
    <w:pPr>
      <w:spacing w:before="120" w:after="120"/>
    </w:pPr>
    <w:rPr>
      <w:rFonts w:ascii="Arial" w:eastAsia="Times New Roman" w:hAnsi="Arial" w:cs="Arial"/>
      <w:color w:val="FFFFFF" w:themeColor="background1"/>
      <w:sz w:val="2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DIFC_PPT_template">
  <a:themeElements>
    <a:clrScheme name="Custom 1">
      <a:dk1>
        <a:srgbClr val="0D0D2D"/>
      </a:dk1>
      <a:lt1>
        <a:sysClr val="window" lastClr="FFFFFF"/>
      </a:lt1>
      <a:dk2>
        <a:srgbClr val="96989A"/>
      </a:dk2>
      <a:lt2>
        <a:srgbClr val="191C5E"/>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EC32-1F54-47C1-B89E-905C29D8F2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D3551B4-BF2B-4507-9B39-0EB380C1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Aisha Al Khamiri</dc:creator>
  <cp:lastModifiedBy>Katherine Nixon</cp:lastModifiedBy>
  <cp:revision>21</cp:revision>
  <cp:lastPrinted>2018-01-29T07:53:00Z</cp:lastPrinted>
  <dcterms:created xsi:type="dcterms:W3CDTF">2022-11-28T09:42:00Z</dcterms:created>
  <dcterms:modified xsi:type="dcterms:W3CDTF">2024-05-13T11:50:00Z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ea908e87-270f-4f0c-b6f7-f25175fb2401</vt:lpwstr>
  </property>
  <property fmtid="{D5CDD505-2E9C-101B-9397-08002B2CF9AE}" pid="3" name="docIndexRef">
    <vt:lpwstr>9cc9a297-e4bd-482d-8c6e-a4f267cc2521</vt:lpwstr>
  </property>
  <property fmtid="{D5CDD505-2E9C-101B-9397-08002B2CF9AE}" pid="4" name="bjSaver">
    <vt:lpwstr>vwo4XY6MZihPOZCcW4p/caJoCkaL8fiz</vt:lpwstr>
  </property>
  <property fmtid="{D5CDD505-2E9C-101B-9397-08002B2CF9AE}" pid="5" name="Classification">
    <vt:lpwstr>PUBLIC</vt:lpwstr>
  </property>
  <property fmtid="{D5CDD505-2E9C-101B-9397-08002B2CF9AE}" pid="6" name="bjDocumentSecurityLabel">
    <vt:lpwstr>Public</vt:lpwstr>
  </property>
  <property fmtid="{D5CDD505-2E9C-101B-9397-08002B2CF9AE}" pid="7" name="BJ-Classification">
    <vt:lpwstr>Public</vt:lpwstr>
  </property>
  <property fmtid="{D5CDD505-2E9C-101B-9397-08002B2CF9AE}" pid="8"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9" name="bjDocumentLabelXML-0">
    <vt:lpwstr>ames.com/2008/01/sie/internal/label"&gt;&lt;element uid="f74afad7-bac5-41de-a833-5bd2fb3e2728" value="" /&gt;&lt;/sisl&gt;</vt:lpwstr>
  </property>
  <property fmtid="{D5CDD505-2E9C-101B-9397-08002B2CF9AE}" pid="10" name="MSIP_Label_09dd96bb-ffa3-4be7-a1e9-96cadbf868fd_Enabled">
    <vt:lpwstr>true</vt:lpwstr>
  </property>
  <property fmtid="{D5CDD505-2E9C-101B-9397-08002B2CF9AE}" pid="11" name="MSIP_Label_09dd96bb-ffa3-4be7-a1e9-96cadbf868fd_SetDate">
    <vt:lpwstr>2024-04-25T08:35:36Z</vt:lpwstr>
  </property>
  <property fmtid="{D5CDD505-2E9C-101B-9397-08002B2CF9AE}" pid="12" name="MSIP_Label_09dd96bb-ffa3-4be7-a1e9-96cadbf868fd_Method">
    <vt:lpwstr>Standard</vt:lpwstr>
  </property>
  <property fmtid="{D5CDD505-2E9C-101B-9397-08002B2CF9AE}" pid="13" name="MSIP_Label_09dd96bb-ffa3-4be7-a1e9-96cadbf868fd_Name">
    <vt:lpwstr>Confidential</vt:lpwstr>
  </property>
  <property fmtid="{D5CDD505-2E9C-101B-9397-08002B2CF9AE}" pid="14" name="MSIP_Label_09dd96bb-ffa3-4be7-a1e9-96cadbf868fd_SiteId">
    <vt:lpwstr>abc805d7-9852-4fa2-af27-5f3c9114221c</vt:lpwstr>
  </property>
  <property fmtid="{D5CDD505-2E9C-101B-9397-08002B2CF9AE}" pid="15" name="MSIP_Label_09dd96bb-ffa3-4be7-a1e9-96cadbf868fd_ActionId">
    <vt:lpwstr>4f13aa6d-509a-45be-9ebd-eb59daac2fe0</vt:lpwstr>
  </property>
  <property fmtid="{D5CDD505-2E9C-101B-9397-08002B2CF9AE}" pid="16" name="MSIP_Label_09dd96bb-ffa3-4be7-a1e9-96cadbf868fd_ContentBits">
    <vt:lpwstr>0</vt:lpwstr>
  </property>
</Properties>
</file>