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7A18" w14:textId="77777777" w:rsidR="00D41215" w:rsidRDefault="00781157" w:rsidP="00B761B0">
      <w:pPr>
        <w:pStyle w:val="Heading1"/>
        <w:pBdr>
          <w:top w:val="single" w:sz="4" w:space="1" w:color="auto"/>
          <w:left w:val="single" w:sz="4" w:space="0" w:color="auto"/>
          <w:bottom w:val="single" w:sz="4" w:space="0" w:color="auto"/>
          <w:right w:val="single" w:sz="4" w:space="4" w:color="auto"/>
        </w:pBdr>
        <w:ind w:left="91"/>
        <w:jc w:val="center"/>
      </w:pPr>
      <w:r>
        <w:rPr>
          <w:noProof/>
        </w:rPr>
        <mc:AlternateContent>
          <mc:Choice Requires="wps">
            <w:drawing>
              <wp:anchor distT="0" distB="0" distL="114300" distR="114300" simplePos="0" relativeHeight="251659264" behindDoc="0" locked="0" layoutInCell="1" allowOverlap="1" wp14:anchorId="41036BFD" wp14:editId="74AD00FA">
                <wp:simplePos x="0" y="0"/>
                <wp:positionH relativeFrom="margin">
                  <wp:align>right</wp:align>
                </wp:positionH>
                <wp:positionV relativeFrom="paragraph">
                  <wp:posOffset>238760</wp:posOffset>
                </wp:positionV>
                <wp:extent cx="188785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789305"/>
                        </a:xfrm>
                        <a:prstGeom prst="rect">
                          <a:avLst/>
                        </a:prstGeom>
                        <a:solidFill>
                          <a:srgbClr val="FFFFFF"/>
                        </a:solidFill>
                        <a:ln w="9525">
                          <a:noFill/>
                          <a:miter lim="800000"/>
                          <a:headEnd/>
                          <a:tailEnd/>
                        </a:ln>
                      </wps:spPr>
                      <wps:txbx>
                        <w:txbxContent>
                          <w:p w14:paraId="1821CF55" w14:textId="77777777" w:rsidR="00D41215" w:rsidRDefault="000E627C" w:rsidP="00D41215">
                            <w:pPr>
                              <w:jc w:val="center"/>
                            </w:pPr>
                            <w:r>
                              <w:rPr>
                                <w:noProof/>
                              </w:rPr>
                              <w:drawing>
                                <wp:inline distT="0" distB="0" distL="0" distR="0" wp14:anchorId="531E761A" wp14:editId="52A593D8">
                                  <wp:extent cx="1599583" cy="784860"/>
                                  <wp:effectExtent l="0" t="0" r="635" b="0"/>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836" cy="785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036BFD" id="_x0000_t202" coordsize="21600,21600" o:spt="202" path="m,l,21600r21600,l21600,xe">
                <v:stroke joinstyle="miter"/>
                <v:path gradientshapeok="t" o:connecttype="rect"/>
              </v:shapetype>
              <v:shape id="Text Box 2" o:spid="_x0000_s1026" type="#_x0000_t202" style="position:absolute;left:0;text-align:left;margin-left:97.45pt;margin-top:18.8pt;width:148.65pt;height:62.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" stroked="f">
                <v:textbox>
                  <w:txbxContent>
                    <w:p w14:paraId="1821CF55" w14:textId="77777777" w:rsidR="00D41215" w:rsidRDefault="000E627C" w:rsidP="00D41215">
                      <w:pPr>
                        <w:jc w:val="center"/>
                      </w:pPr>
                      <w:r>
                        <w:rPr>
                          <w:noProof/>
                        </w:rPr>
                        <w:drawing>
                          <wp:inline distT="0" distB="0" distL="0" distR="0" wp14:anchorId="531E761A" wp14:editId="52A593D8">
                            <wp:extent cx="1599583" cy="784860"/>
                            <wp:effectExtent l="0" t="0" r="635" b="0"/>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836" cy="785475"/>
                                    </a:xfrm>
                                    <a:prstGeom prst="rect">
                                      <a:avLst/>
                                    </a:prstGeom>
                                    <a:noFill/>
                                    <a:ln>
                                      <a:noFill/>
                                    </a:ln>
                                  </pic:spPr>
                                </pic:pic>
                              </a:graphicData>
                            </a:graphic>
                          </wp:inline>
                        </w:drawing>
                      </w:r>
                    </w:p>
                  </w:txbxContent>
                </v:textbox>
                <w10:wrap anchorx="margin"/>
              </v:shape>
            </w:pict>
          </mc:Fallback>
        </mc:AlternateContent>
      </w:r>
    </w:p>
    <w:p w14:paraId="0084B786" w14:textId="77777777" w:rsidR="0037004A" w:rsidRPr="000E627C" w:rsidRDefault="000B3510" w:rsidP="00B761B0">
      <w:pPr>
        <w:pStyle w:val="Heading1"/>
        <w:pBdr>
          <w:top w:val="single" w:sz="4" w:space="1" w:color="auto"/>
          <w:left w:val="single" w:sz="4" w:space="0" w:color="auto"/>
          <w:bottom w:val="single" w:sz="4" w:space="0" w:color="auto"/>
          <w:right w:val="single" w:sz="4" w:space="4" w:color="auto"/>
        </w:pBdr>
        <w:ind w:left="91"/>
        <w:jc w:val="center"/>
        <w:rPr>
          <w:color w:val="auto"/>
          <w:sz w:val="28"/>
          <w:szCs w:val="28"/>
        </w:rPr>
      </w:pPr>
      <w:r>
        <w:rPr>
          <w:color w:val="auto"/>
          <w:sz w:val="28"/>
          <w:szCs w:val="28"/>
        </w:rPr>
        <w:t>Annex G</w:t>
      </w:r>
      <w:r w:rsidR="00D41215" w:rsidRPr="000E627C">
        <w:rPr>
          <w:color w:val="auto"/>
          <w:sz w:val="28"/>
          <w:szCs w:val="28"/>
        </w:rPr>
        <w:t xml:space="preserve"> </w:t>
      </w:r>
    </w:p>
    <w:p w14:paraId="7E814A1F" w14:textId="77777777" w:rsidR="00D41215" w:rsidRPr="000E627C" w:rsidRDefault="0037004A" w:rsidP="00B761B0">
      <w:pPr>
        <w:pStyle w:val="Heading1"/>
        <w:pBdr>
          <w:top w:val="single" w:sz="4" w:space="1" w:color="auto"/>
          <w:left w:val="single" w:sz="4" w:space="0" w:color="auto"/>
          <w:bottom w:val="single" w:sz="4" w:space="0" w:color="auto"/>
          <w:right w:val="single" w:sz="4" w:space="4" w:color="auto"/>
        </w:pBdr>
        <w:ind w:left="91"/>
        <w:rPr>
          <w:color w:val="auto"/>
          <w:sz w:val="28"/>
          <w:szCs w:val="28"/>
        </w:rPr>
      </w:pPr>
      <w:r w:rsidRPr="000E627C">
        <w:rPr>
          <w:color w:val="auto"/>
          <w:sz w:val="28"/>
          <w:szCs w:val="28"/>
        </w:rPr>
        <w:t xml:space="preserve">  </w:t>
      </w:r>
    </w:p>
    <w:p w14:paraId="41057B2D" w14:textId="77777777" w:rsidR="00D41215" w:rsidRPr="000E627C" w:rsidRDefault="00D41215" w:rsidP="00B761B0">
      <w:pPr>
        <w:pStyle w:val="Heading1"/>
        <w:pBdr>
          <w:top w:val="single" w:sz="4" w:space="1" w:color="auto"/>
          <w:left w:val="single" w:sz="4" w:space="0" w:color="auto"/>
          <w:bottom w:val="single" w:sz="4" w:space="0" w:color="auto"/>
          <w:right w:val="single" w:sz="4" w:space="4" w:color="auto"/>
        </w:pBdr>
        <w:ind w:left="91"/>
        <w:rPr>
          <w:color w:val="auto"/>
          <w:sz w:val="28"/>
          <w:szCs w:val="28"/>
        </w:rPr>
      </w:pPr>
      <w:r w:rsidRPr="000E627C">
        <w:rPr>
          <w:color w:val="auto"/>
          <w:sz w:val="28"/>
          <w:szCs w:val="28"/>
        </w:rPr>
        <w:t>Format for providing public comments</w:t>
      </w:r>
      <w:r w:rsidR="00C70806" w:rsidRPr="000E627C">
        <w:rPr>
          <w:color w:val="auto"/>
          <w:sz w:val="28"/>
          <w:szCs w:val="28"/>
        </w:rPr>
        <w:t xml:space="preserve"> to DIFCA</w:t>
      </w:r>
      <w:r w:rsidRPr="000E627C">
        <w:rPr>
          <w:color w:val="auto"/>
          <w:sz w:val="28"/>
          <w:szCs w:val="28"/>
        </w:rPr>
        <w:t xml:space="preserve"> on Consultation paper</w:t>
      </w:r>
      <w:r w:rsidR="00C70806" w:rsidRPr="000E627C">
        <w:rPr>
          <w:color w:val="auto"/>
          <w:sz w:val="28"/>
          <w:szCs w:val="28"/>
        </w:rPr>
        <w:t xml:space="preserve"> No.</w:t>
      </w:r>
      <w:r w:rsidR="000B3510">
        <w:rPr>
          <w:color w:val="auto"/>
          <w:sz w:val="28"/>
          <w:szCs w:val="28"/>
        </w:rPr>
        <w:t xml:space="preserve"> 4</w:t>
      </w:r>
      <w:r w:rsidR="00C70806" w:rsidRPr="000E627C">
        <w:rPr>
          <w:color w:val="auto"/>
          <w:sz w:val="28"/>
          <w:szCs w:val="28"/>
        </w:rPr>
        <w:t xml:space="preserve"> of </w:t>
      </w:r>
      <w:r w:rsidR="000B3510">
        <w:rPr>
          <w:color w:val="auto"/>
          <w:sz w:val="28"/>
          <w:szCs w:val="28"/>
        </w:rPr>
        <w:t>2023</w:t>
      </w:r>
    </w:p>
    <w:p w14:paraId="0A5352BB" w14:textId="77777777" w:rsidR="00C70806" w:rsidRPr="00C70806" w:rsidRDefault="00C70806" w:rsidP="00B761B0">
      <w:pPr>
        <w:pStyle w:val="Heading1"/>
        <w:pBdr>
          <w:top w:val="single" w:sz="4" w:space="1" w:color="auto"/>
          <w:left w:val="single" w:sz="4" w:space="0" w:color="auto"/>
          <w:bottom w:val="single" w:sz="4" w:space="0" w:color="auto"/>
          <w:right w:val="single" w:sz="4" w:space="4" w:color="auto"/>
        </w:pBdr>
        <w:ind w:left="91"/>
        <w:rPr>
          <w:sz w:val="28"/>
          <w:szCs w:val="28"/>
        </w:rPr>
      </w:pPr>
      <w:r w:rsidRPr="00C70806">
        <w:rPr>
          <w:sz w:val="28"/>
          <w:szCs w:val="28"/>
        </w:rPr>
        <w:t xml:space="preserve">Proposed </w:t>
      </w:r>
      <w:r w:rsidR="000B3510">
        <w:rPr>
          <w:sz w:val="28"/>
          <w:szCs w:val="28"/>
        </w:rPr>
        <w:t xml:space="preserve">Digital Assets Law and Related DIFC Legislation </w:t>
      </w:r>
      <w:r>
        <w:rPr>
          <w:sz w:val="28"/>
          <w:szCs w:val="28"/>
        </w:rPr>
        <w:br/>
      </w:r>
    </w:p>
    <w:tbl>
      <w:tblPr>
        <w:tblStyle w:val="TableGrid"/>
        <w:tblW w:w="15055" w:type="dxa"/>
        <w:tblInd w:w="108"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15055"/>
      </w:tblGrid>
      <w:tr w:rsidR="00720EA9" w14:paraId="18B5D1A9" w14:textId="77777777" w:rsidTr="00B761B0">
        <w:trPr>
          <w:trHeight w:hRule="exact" w:val="2911"/>
        </w:trPr>
        <w:tc>
          <w:tcPr>
            <w:tcW w:w="15055" w:type="dxa"/>
            <w:shd w:val="clear" w:color="auto" w:fill="FFFFFF" w:themeFill="background1"/>
            <w:vAlign w:val="center"/>
          </w:tcPr>
          <w:p w14:paraId="39997A32" w14:textId="77777777" w:rsidR="002B14C2" w:rsidRPr="00DC6619" w:rsidRDefault="002B14C2" w:rsidP="002B14C2">
            <w:pPr>
              <w:pStyle w:val="TableHeader"/>
              <w:rPr>
                <w:b w:val="0"/>
                <w:color w:val="auto"/>
                <w:sz w:val="20"/>
                <w:szCs w:val="20"/>
              </w:rPr>
            </w:pPr>
            <w:r w:rsidRPr="00DC6619">
              <w:rPr>
                <w:b w:val="0"/>
                <w:color w:val="auto"/>
                <w:sz w:val="20"/>
                <w:szCs w:val="20"/>
                <w:u w:val="single"/>
              </w:rPr>
              <w:t>Note 1:</w:t>
            </w:r>
            <w:r w:rsidRPr="00DC6619">
              <w:rPr>
                <w:b w:val="0"/>
                <w:color w:val="auto"/>
                <w:sz w:val="20"/>
                <w:szCs w:val="20"/>
              </w:rPr>
              <w:tab/>
              <w:t xml:space="preserve">DIFCA reserves the right to publish, including on its website, any comments you provide. However, if you wish to remain anonymous, you must expressly request at the time of making comments that this should be the case. </w:t>
            </w:r>
          </w:p>
          <w:p w14:paraId="4FF194B9" w14:textId="77777777" w:rsidR="002B14C2" w:rsidRPr="00DC6619" w:rsidRDefault="002B14C2" w:rsidP="002B14C2">
            <w:pPr>
              <w:pStyle w:val="TableHeader"/>
              <w:rPr>
                <w:b w:val="0"/>
                <w:color w:val="auto"/>
                <w:sz w:val="20"/>
                <w:szCs w:val="20"/>
              </w:rPr>
            </w:pPr>
          </w:p>
          <w:p w14:paraId="01E35EC5" w14:textId="77777777" w:rsidR="002B14C2" w:rsidRPr="00DC6619" w:rsidRDefault="002B14C2" w:rsidP="002B14C2">
            <w:pPr>
              <w:pStyle w:val="TableHeader"/>
              <w:rPr>
                <w:b w:val="0"/>
                <w:color w:val="auto"/>
                <w:sz w:val="20"/>
                <w:szCs w:val="20"/>
              </w:rPr>
            </w:pPr>
            <w:r w:rsidRPr="00DC6619">
              <w:rPr>
                <w:b w:val="0"/>
                <w:color w:val="auto"/>
                <w:sz w:val="20"/>
                <w:szCs w:val="20"/>
                <w:u w:val="single"/>
              </w:rPr>
              <w:t>Note 2:</w:t>
            </w:r>
            <w:r w:rsidRPr="00DC6619">
              <w:rPr>
                <w:b w:val="0"/>
                <w:color w:val="auto"/>
                <w:sz w:val="20"/>
                <w:szCs w:val="20"/>
              </w:rPr>
              <w:tab/>
              <w:t>The column</w:t>
            </w:r>
            <w:r w:rsidR="00A45FDE">
              <w:rPr>
                <w:b w:val="0"/>
                <w:color w:val="auto"/>
                <w:sz w:val="20"/>
                <w:szCs w:val="20"/>
              </w:rPr>
              <w:t xml:space="preserve"> titled</w:t>
            </w:r>
            <w:r w:rsidRPr="00DC6619">
              <w:rPr>
                <w:b w:val="0"/>
                <w:color w:val="auto"/>
                <w:sz w:val="20"/>
                <w:szCs w:val="20"/>
              </w:rPr>
              <w:t xml:space="preserve"> ‘comments on proposed policy’ relates to the policy explained in the </w:t>
            </w:r>
            <w:r w:rsidR="00A45FDE">
              <w:rPr>
                <w:b w:val="0"/>
                <w:color w:val="auto"/>
                <w:sz w:val="20"/>
                <w:szCs w:val="20"/>
              </w:rPr>
              <w:t>Consultation Paper (“</w:t>
            </w:r>
            <w:r w:rsidRPr="00DC6619">
              <w:rPr>
                <w:b w:val="0"/>
                <w:color w:val="auto"/>
                <w:sz w:val="20"/>
                <w:szCs w:val="20"/>
              </w:rPr>
              <w:t>CP</w:t>
            </w:r>
            <w:r w:rsidR="00A45FDE">
              <w:rPr>
                <w:b w:val="0"/>
                <w:color w:val="auto"/>
                <w:sz w:val="20"/>
                <w:szCs w:val="20"/>
              </w:rPr>
              <w:t>”)</w:t>
            </w:r>
            <w:r w:rsidRPr="00DC6619">
              <w:rPr>
                <w:b w:val="0"/>
                <w:color w:val="auto"/>
                <w:sz w:val="20"/>
                <w:szCs w:val="20"/>
              </w:rPr>
              <w:t>. The column</w:t>
            </w:r>
            <w:r w:rsidR="00A45FDE">
              <w:rPr>
                <w:b w:val="0"/>
                <w:color w:val="auto"/>
                <w:sz w:val="20"/>
                <w:szCs w:val="20"/>
              </w:rPr>
              <w:t xml:space="preserve"> titled</w:t>
            </w:r>
            <w:r w:rsidRPr="00DC6619">
              <w:rPr>
                <w:b w:val="0"/>
                <w:color w:val="auto"/>
                <w:sz w:val="20"/>
                <w:szCs w:val="20"/>
              </w:rPr>
              <w:t xml:space="preserve"> ‘comments on </w:t>
            </w:r>
            <w:r w:rsidR="00A45FDE">
              <w:rPr>
                <w:b w:val="0"/>
                <w:color w:val="auto"/>
                <w:sz w:val="20"/>
                <w:szCs w:val="20"/>
              </w:rPr>
              <w:t>proposed legislation</w:t>
            </w:r>
            <w:r w:rsidRPr="00DC6619">
              <w:rPr>
                <w:b w:val="0"/>
                <w:color w:val="auto"/>
                <w:sz w:val="20"/>
                <w:szCs w:val="20"/>
              </w:rPr>
              <w:t xml:space="preserve">’ refers to the draft </w:t>
            </w:r>
            <w:r w:rsidR="00A45FDE">
              <w:rPr>
                <w:b w:val="0"/>
                <w:color w:val="auto"/>
                <w:sz w:val="20"/>
                <w:szCs w:val="20"/>
              </w:rPr>
              <w:t>legislation</w:t>
            </w:r>
            <w:r w:rsidRPr="00DC6619">
              <w:rPr>
                <w:b w:val="0"/>
                <w:color w:val="auto"/>
                <w:sz w:val="20"/>
                <w:szCs w:val="20"/>
              </w:rPr>
              <w:t xml:space="preserve"> reflecting the proposed policy.</w:t>
            </w:r>
          </w:p>
          <w:p w14:paraId="0AB74BB7" w14:textId="77777777" w:rsidR="002B14C2" w:rsidRPr="00DC6619" w:rsidRDefault="002B14C2" w:rsidP="002B14C2">
            <w:pPr>
              <w:pStyle w:val="TableHeader"/>
              <w:rPr>
                <w:b w:val="0"/>
                <w:color w:val="auto"/>
                <w:sz w:val="20"/>
                <w:szCs w:val="20"/>
              </w:rPr>
            </w:pPr>
          </w:p>
          <w:p w14:paraId="34E05C0A" w14:textId="77777777" w:rsidR="002B14C2" w:rsidRPr="00DC6619" w:rsidRDefault="002B14C2" w:rsidP="002B14C2">
            <w:pPr>
              <w:pStyle w:val="TableHeader"/>
              <w:rPr>
                <w:b w:val="0"/>
                <w:color w:val="auto"/>
                <w:sz w:val="20"/>
                <w:szCs w:val="20"/>
              </w:rPr>
            </w:pPr>
            <w:r w:rsidRPr="00DC6619">
              <w:rPr>
                <w:b w:val="0"/>
                <w:color w:val="auto"/>
                <w:sz w:val="20"/>
                <w:szCs w:val="20"/>
                <w:u w:val="single"/>
              </w:rPr>
              <w:t>Note 3:</w:t>
            </w:r>
            <w:r w:rsidRPr="00DC6619">
              <w:rPr>
                <w:b w:val="0"/>
                <w:color w:val="auto"/>
                <w:sz w:val="20"/>
                <w:szCs w:val="20"/>
              </w:rPr>
              <w:tab/>
              <w:t xml:space="preserve">It is possible that you may not have any comments, either on the proposed policy or </w:t>
            </w:r>
            <w:r w:rsidR="00A45FDE">
              <w:rPr>
                <w:b w:val="0"/>
                <w:color w:val="auto"/>
                <w:sz w:val="20"/>
                <w:szCs w:val="20"/>
              </w:rPr>
              <w:t>legislation</w:t>
            </w:r>
            <w:r w:rsidRPr="00DC6619">
              <w:rPr>
                <w:b w:val="0"/>
                <w:color w:val="auto"/>
                <w:sz w:val="20"/>
                <w:szCs w:val="20"/>
              </w:rPr>
              <w:t xml:space="preserve">, or may have comments on one and not the other. You may leave a blank column if you either agree to the proposed position, or you have no concerns relating it. </w:t>
            </w:r>
          </w:p>
          <w:p w14:paraId="1E37AAB7" w14:textId="77777777" w:rsidR="002B14C2" w:rsidRPr="00DC6619" w:rsidRDefault="002B14C2" w:rsidP="002B14C2">
            <w:pPr>
              <w:pStyle w:val="TableHeader"/>
              <w:rPr>
                <w:b w:val="0"/>
                <w:color w:val="auto"/>
                <w:sz w:val="20"/>
                <w:szCs w:val="20"/>
              </w:rPr>
            </w:pPr>
          </w:p>
          <w:p w14:paraId="589CF6D3" w14:textId="77777777" w:rsidR="00D41215" w:rsidRPr="00AD036C" w:rsidRDefault="002B14C2" w:rsidP="00A45FDE">
            <w:pPr>
              <w:pStyle w:val="TableHeader"/>
              <w:rPr>
                <w:sz w:val="20"/>
                <w:szCs w:val="20"/>
              </w:rPr>
            </w:pPr>
            <w:r w:rsidRPr="00DC6619">
              <w:rPr>
                <w:b w:val="0"/>
                <w:color w:val="auto"/>
                <w:sz w:val="20"/>
                <w:szCs w:val="20"/>
                <w:u w:val="single"/>
              </w:rPr>
              <w:t>Note 4:</w:t>
            </w:r>
            <w:r w:rsidRPr="00DC6619">
              <w:rPr>
                <w:b w:val="0"/>
                <w:color w:val="auto"/>
                <w:sz w:val="20"/>
                <w:szCs w:val="20"/>
              </w:rPr>
              <w:tab/>
              <w:t xml:space="preserve">If there are any ambiguities relating to the proposed policy or </w:t>
            </w:r>
            <w:r w:rsidR="00A45FDE">
              <w:rPr>
                <w:b w:val="0"/>
                <w:color w:val="auto"/>
                <w:sz w:val="20"/>
                <w:szCs w:val="20"/>
              </w:rPr>
              <w:t>legislation</w:t>
            </w:r>
            <w:r w:rsidRPr="00DC6619">
              <w:rPr>
                <w:b w:val="0"/>
                <w:color w:val="auto"/>
                <w:sz w:val="20"/>
                <w:szCs w:val="20"/>
              </w:rPr>
              <w:t>, you may raise those in your comments.</w:t>
            </w:r>
          </w:p>
        </w:tc>
      </w:tr>
    </w:tbl>
    <w:p w14:paraId="123909D4" w14:textId="77777777" w:rsidR="00907366" w:rsidRDefault="00907366">
      <w:pPr>
        <w:rPr>
          <w:color w:val="auto"/>
          <w:sz w:val="24"/>
        </w:rPr>
      </w:pPr>
    </w:p>
    <w:p w14:paraId="313ABDCB" w14:textId="77777777" w:rsidR="00781157" w:rsidRDefault="00781157">
      <w:pPr>
        <w:rPr>
          <w:color w:val="auto"/>
          <w:sz w:val="24"/>
        </w:rPr>
      </w:pPr>
    </w:p>
    <w:tbl>
      <w:tblPr>
        <w:tblStyle w:val="TableGrid"/>
        <w:tblW w:w="151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4A0" w:firstRow="1" w:lastRow="0" w:firstColumn="1" w:lastColumn="0" w:noHBand="0" w:noVBand="1"/>
      </w:tblPr>
      <w:tblGrid>
        <w:gridCol w:w="5670"/>
        <w:gridCol w:w="9450"/>
      </w:tblGrid>
      <w:tr w:rsidR="00781157" w:rsidRPr="00D41215" w14:paraId="54689FDF" w14:textId="77777777" w:rsidTr="00DC6619">
        <w:trPr>
          <w:trHeight w:val="227"/>
          <w:tblHeader/>
        </w:trPr>
        <w:tc>
          <w:tcPr>
            <w:tcW w:w="5670" w:type="dxa"/>
            <w:vAlign w:val="center"/>
          </w:tcPr>
          <w:p w14:paraId="358FDBEE" w14:textId="77777777" w:rsidR="00781157" w:rsidRPr="00D41215" w:rsidRDefault="00781157" w:rsidP="00F64A58">
            <w:pPr>
              <w:ind w:left="176"/>
              <w:rPr>
                <w:b/>
                <w:sz w:val="22"/>
                <w:szCs w:val="16"/>
              </w:rPr>
            </w:pPr>
            <w:r w:rsidRPr="00D41215">
              <w:rPr>
                <w:b/>
                <w:sz w:val="22"/>
                <w:szCs w:val="16"/>
              </w:rPr>
              <w:t xml:space="preserve">Name of individual / </w:t>
            </w:r>
            <w:r>
              <w:rPr>
                <w:b/>
                <w:sz w:val="22"/>
                <w:szCs w:val="16"/>
              </w:rPr>
              <w:t>entity providing com</w:t>
            </w:r>
            <w:r w:rsidRPr="00D41215">
              <w:rPr>
                <w:b/>
                <w:sz w:val="22"/>
                <w:szCs w:val="16"/>
              </w:rPr>
              <w:t>ment</w:t>
            </w:r>
            <w:r>
              <w:rPr>
                <w:b/>
                <w:sz w:val="22"/>
                <w:szCs w:val="16"/>
              </w:rPr>
              <w:t>s:</w:t>
            </w:r>
          </w:p>
        </w:tc>
        <w:tc>
          <w:tcPr>
            <w:tcW w:w="9450" w:type="dxa"/>
            <w:vAlign w:val="center"/>
          </w:tcPr>
          <w:p w14:paraId="6AF5025D" w14:textId="77777777" w:rsidR="00781157" w:rsidRPr="00D41215" w:rsidRDefault="00781157" w:rsidP="00F64A58">
            <w:pPr>
              <w:ind w:firstLine="176"/>
              <w:rPr>
                <w:color w:val="auto"/>
                <w:sz w:val="22"/>
              </w:rPr>
            </w:pPr>
          </w:p>
        </w:tc>
      </w:tr>
    </w:tbl>
    <w:p w14:paraId="4CCA120A" w14:textId="77777777" w:rsidR="00781157" w:rsidRDefault="00781157">
      <w:pPr>
        <w:rPr>
          <w:color w:val="auto"/>
          <w:sz w:val="24"/>
        </w:rPr>
      </w:pPr>
    </w:p>
    <w:tbl>
      <w:tblPr>
        <w:tblStyle w:val="TableGrid"/>
        <w:tblW w:w="15120"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720"/>
        <w:gridCol w:w="7200"/>
        <w:gridCol w:w="7200"/>
      </w:tblGrid>
      <w:tr w:rsidR="000C5C06" w:rsidRPr="00D41215" w14:paraId="7822B7CD" w14:textId="77777777" w:rsidTr="000E627C">
        <w:trPr>
          <w:trHeight w:hRule="exact" w:val="388"/>
          <w:tblHeader/>
        </w:trPr>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7F22F646" w14:textId="77777777" w:rsidR="000C5C06" w:rsidRPr="00D41215" w:rsidRDefault="000C5C06" w:rsidP="00F64A58">
            <w:pPr>
              <w:pStyle w:val="TableHeader"/>
              <w:rPr>
                <w:szCs w:val="2"/>
              </w:rPr>
            </w:pPr>
            <w:r>
              <w:rPr>
                <w:szCs w:val="2"/>
              </w:rPr>
              <w:t xml:space="preserve">No. </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7B4EEA2A" w14:textId="77777777" w:rsidR="000C5C06" w:rsidRPr="00D41215" w:rsidRDefault="000C5C06" w:rsidP="00F64A58">
            <w:pPr>
              <w:pStyle w:val="TableHeader"/>
              <w:jc w:val="center"/>
              <w:rPr>
                <w:szCs w:val="2"/>
              </w:rPr>
            </w:pPr>
            <w:r>
              <w:rPr>
                <w:szCs w:val="2"/>
              </w:rPr>
              <w:t>Comments on proposed policy</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1D7A4E83" w14:textId="77777777" w:rsidR="000C5C06" w:rsidRPr="00D41215" w:rsidRDefault="000C5C06" w:rsidP="00F64A58">
            <w:pPr>
              <w:pStyle w:val="TableHeader"/>
              <w:jc w:val="center"/>
              <w:rPr>
                <w:szCs w:val="2"/>
              </w:rPr>
            </w:pPr>
            <w:r>
              <w:rPr>
                <w:szCs w:val="2"/>
              </w:rPr>
              <w:t>Comments on proposed legislation</w:t>
            </w:r>
          </w:p>
        </w:tc>
      </w:tr>
      <w:tr w:rsidR="000C5C06" w:rsidRPr="00D41215" w14:paraId="40301D67" w14:textId="77777777" w:rsidTr="000E627C">
        <w:trPr>
          <w:trHeight w:hRule="exact" w:val="388"/>
        </w:trPr>
        <w:tc>
          <w:tcPr>
            <w:tcW w:w="15120" w:type="dxa"/>
            <w:gridSpan w:val="3"/>
            <w:tcBorders>
              <w:top w:val="single" w:sz="4" w:space="0" w:color="FFFFFF" w:themeColor="background1"/>
              <w:left w:val="single" w:sz="4" w:space="0" w:color="auto"/>
              <w:bottom w:val="single" w:sz="4" w:space="0" w:color="auto"/>
              <w:right w:val="single" w:sz="4" w:space="0" w:color="auto"/>
            </w:tcBorders>
            <w:shd w:val="clear" w:color="auto" w:fill="0D0D2D" w:themeFill="text1"/>
          </w:tcPr>
          <w:p w14:paraId="66F226DC" w14:textId="77777777" w:rsidR="00F27F30" w:rsidRPr="00B462E3" w:rsidRDefault="00F27F30" w:rsidP="00F27F30">
            <w:pPr>
              <w:pStyle w:val="TableHeader"/>
              <w:rPr>
                <w:bCs/>
                <w:color w:val="auto"/>
                <w:szCs w:val="2"/>
                <w:lang w:val="en-GB"/>
              </w:rPr>
            </w:pPr>
            <w:r>
              <w:rPr>
                <w:bCs/>
                <w:color w:val="auto"/>
                <w:szCs w:val="2"/>
                <w:lang w:val="en-GB"/>
              </w:rPr>
              <w:t>Definition of a Digital Asset</w:t>
            </w:r>
          </w:p>
          <w:p w14:paraId="72C9BBA2" w14:textId="77777777" w:rsidR="000C5C06" w:rsidRPr="00C70806" w:rsidRDefault="000C5C06" w:rsidP="003A6C2F">
            <w:pPr>
              <w:pStyle w:val="TableHeader"/>
              <w:rPr>
                <w:bCs/>
                <w:color w:val="auto"/>
                <w:szCs w:val="2"/>
              </w:rPr>
            </w:pPr>
          </w:p>
        </w:tc>
      </w:tr>
      <w:tr w:rsidR="000C5C06" w:rsidRPr="00D41215" w14:paraId="3590FD95" w14:textId="77777777" w:rsidTr="003A6C2F">
        <w:trPr>
          <w:trHeight w:hRule="exact" w:val="70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10E4D376" w14:textId="77777777" w:rsidR="000C5C06" w:rsidRPr="000C5C06" w:rsidRDefault="000C5C06" w:rsidP="00137C4C">
            <w:pPr>
              <w:pStyle w:val="TableHeader"/>
              <w:tabs>
                <w:tab w:val="left" w:pos="254"/>
              </w:tabs>
              <w:rPr>
                <w:b w:val="0"/>
                <w:color w:val="auto"/>
                <w:szCs w:val="2"/>
              </w:rPr>
            </w:pPr>
            <w:r w:rsidRPr="00C70806">
              <w:rPr>
                <w:bCs/>
                <w:color w:val="auto"/>
                <w:szCs w:val="2"/>
              </w:rPr>
              <w:t>Q1:</w:t>
            </w:r>
            <w:r w:rsidRPr="000C5C06">
              <w:rPr>
                <w:b w:val="0"/>
                <w:color w:val="auto"/>
                <w:szCs w:val="2"/>
              </w:rPr>
              <w:t xml:space="preserve"> </w:t>
            </w:r>
            <w:r w:rsidR="00F27F30">
              <w:rPr>
                <w:rFonts w:ascii="Arial" w:hAnsi="Arial" w:cs="Arial"/>
                <w:bCs/>
                <w:color w:val="auto"/>
                <w:szCs w:val="2"/>
                <w:lang w:val="en-GB"/>
              </w:rPr>
              <w:t>Do you agree with our definition of a Digital Asset in Article 8 of the DAL? If not, how can it be improved?</w:t>
            </w:r>
          </w:p>
        </w:tc>
      </w:tr>
      <w:tr w:rsidR="000C5C06" w:rsidRPr="00D41215" w14:paraId="3CDB429C"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65CFAF3"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813EA23"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F09FA7B" w14:textId="77777777" w:rsidR="000C5C06" w:rsidRPr="000C5C06" w:rsidRDefault="000C5C06" w:rsidP="000C5C06">
            <w:pPr>
              <w:pStyle w:val="TableHeader"/>
              <w:rPr>
                <w:b w:val="0"/>
                <w:color w:val="auto"/>
                <w:szCs w:val="2"/>
              </w:rPr>
            </w:pPr>
          </w:p>
        </w:tc>
      </w:tr>
      <w:tr w:rsidR="000C5C06" w:rsidRPr="00D41215" w14:paraId="7B5B96E9"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2973350"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D985955"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8A7E07B" w14:textId="77777777" w:rsidR="000C5C06" w:rsidRPr="000C5C06" w:rsidRDefault="000C5C06" w:rsidP="000C5C06">
            <w:pPr>
              <w:pStyle w:val="TableHeader"/>
              <w:rPr>
                <w:b w:val="0"/>
                <w:color w:val="auto"/>
                <w:szCs w:val="2"/>
              </w:rPr>
            </w:pPr>
          </w:p>
        </w:tc>
      </w:tr>
      <w:tr w:rsidR="00F27F30" w:rsidRPr="00D41215" w14:paraId="02077671" w14:textId="77777777" w:rsidTr="00204E23">
        <w:trPr>
          <w:trHeight w:hRule="exact" w:val="388"/>
        </w:trPr>
        <w:tc>
          <w:tcPr>
            <w:tcW w:w="15120" w:type="dxa"/>
            <w:gridSpan w:val="3"/>
            <w:tcBorders>
              <w:top w:val="single" w:sz="4" w:space="0" w:color="FFFFFF" w:themeColor="background1"/>
              <w:left w:val="single" w:sz="4" w:space="0" w:color="auto"/>
              <w:bottom w:val="single" w:sz="4" w:space="0" w:color="auto"/>
              <w:right w:val="single" w:sz="4" w:space="0" w:color="auto"/>
            </w:tcBorders>
            <w:shd w:val="clear" w:color="auto" w:fill="0D0D2D" w:themeFill="text1"/>
          </w:tcPr>
          <w:p w14:paraId="03B96CBF" w14:textId="77777777" w:rsidR="00F27F30" w:rsidRPr="00B462E3" w:rsidRDefault="00F27F30" w:rsidP="00204E23">
            <w:pPr>
              <w:pStyle w:val="TableHeader"/>
              <w:rPr>
                <w:bCs/>
                <w:color w:val="auto"/>
                <w:szCs w:val="2"/>
                <w:lang w:val="en-GB"/>
              </w:rPr>
            </w:pPr>
            <w:r>
              <w:rPr>
                <w:bCs/>
                <w:color w:val="auto"/>
                <w:szCs w:val="2"/>
                <w:lang w:val="en-GB"/>
              </w:rPr>
              <w:lastRenderedPageBreak/>
              <w:t>Property characterisation</w:t>
            </w:r>
          </w:p>
          <w:p w14:paraId="7B8D97DA" w14:textId="77777777" w:rsidR="00F27F30" w:rsidRPr="00C70806" w:rsidRDefault="00F27F30" w:rsidP="00204E23">
            <w:pPr>
              <w:pStyle w:val="TableHeader"/>
              <w:rPr>
                <w:bCs/>
                <w:color w:val="auto"/>
                <w:szCs w:val="2"/>
              </w:rPr>
            </w:pPr>
          </w:p>
        </w:tc>
      </w:tr>
      <w:tr w:rsidR="00F27F30" w:rsidRPr="00D41215" w14:paraId="6D72BB43" w14:textId="77777777" w:rsidTr="003A6C2F">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7357846C" w14:textId="77777777" w:rsidR="00F27F30" w:rsidRDefault="00F27F30" w:rsidP="00137C4C">
            <w:pPr>
              <w:pStyle w:val="TableHeader"/>
              <w:tabs>
                <w:tab w:val="left" w:pos="279"/>
              </w:tabs>
              <w:rPr>
                <w:bCs/>
                <w:color w:val="auto"/>
                <w:szCs w:val="2"/>
              </w:rPr>
            </w:pPr>
            <w:r w:rsidRPr="000C5C06">
              <w:rPr>
                <w:color w:val="auto"/>
                <w:szCs w:val="2"/>
              </w:rPr>
              <w:t xml:space="preserve">Q2: </w:t>
            </w:r>
            <w:r>
              <w:rPr>
                <w:color w:val="auto"/>
                <w:szCs w:val="2"/>
              </w:rPr>
              <w:t>Do you have any concerns in relation to Article 9 of the DAL? If so, how can it be improved?</w:t>
            </w:r>
          </w:p>
          <w:p w14:paraId="7F8005FD" w14:textId="77777777" w:rsidR="00F27F30" w:rsidRPr="000C5C06" w:rsidRDefault="00F27F30" w:rsidP="003A6C2F">
            <w:pPr>
              <w:pStyle w:val="TableHeader"/>
              <w:rPr>
                <w:color w:val="auto"/>
                <w:szCs w:val="2"/>
              </w:rPr>
            </w:pPr>
          </w:p>
        </w:tc>
      </w:tr>
      <w:tr w:rsidR="000C5C06" w:rsidRPr="00D41215" w14:paraId="4D3C2535"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6586D905"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1409360"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5627556" w14:textId="77777777" w:rsidR="000C5C06" w:rsidRPr="000C5C06" w:rsidRDefault="000C5C06" w:rsidP="000C5C06">
            <w:pPr>
              <w:pStyle w:val="TableHeader"/>
              <w:rPr>
                <w:b w:val="0"/>
                <w:color w:val="auto"/>
                <w:szCs w:val="2"/>
              </w:rPr>
            </w:pPr>
          </w:p>
        </w:tc>
      </w:tr>
      <w:tr w:rsidR="000C5C06" w:rsidRPr="00D41215" w14:paraId="1B250485"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76C33BE"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D09B4C6"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868E4F9" w14:textId="77777777" w:rsidR="000C5C06" w:rsidRPr="000C5C06" w:rsidRDefault="000C5C06" w:rsidP="000C5C06">
            <w:pPr>
              <w:pStyle w:val="TableHeader"/>
              <w:rPr>
                <w:b w:val="0"/>
                <w:color w:val="auto"/>
                <w:szCs w:val="2"/>
              </w:rPr>
            </w:pPr>
          </w:p>
        </w:tc>
      </w:tr>
      <w:tr w:rsidR="0047606F" w:rsidRPr="00D41215" w14:paraId="7EF393E9" w14:textId="77777777" w:rsidTr="00204E23">
        <w:trPr>
          <w:trHeight w:hRule="exact" w:val="388"/>
        </w:trPr>
        <w:tc>
          <w:tcPr>
            <w:tcW w:w="15120" w:type="dxa"/>
            <w:gridSpan w:val="3"/>
            <w:tcBorders>
              <w:top w:val="single" w:sz="4" w:space="0" w:color="FFFFFF" w:themeColor="background1"/>
              <w:left w:val="single" w:sz="4" w:space="0" w:color="auto"/>
              <w:bottom w:val="single" w:sz="4" w:space="0" w:color="auto"/>
              <w:right w:val="single" w:sz="4" w:space="0" w:color="auto"/>
            </w:tcBorders>
            <w:shd w:val="clear" w:color="auto" w:fill="0D0D2D" w:themeFill="text1"/>
          </w:tcPr>
          <w:p w14:paraId="762B108B" w14:textId="77777777" w:rsidR="0047606F" w:rsidRPr="00B462E3" w:rsidRDefault="0047606F" w:rsidP="00204E23">
            <w:pPr>
              <w:pStyle w:val="TableHeader"/>
              <w:rPr>
                <w:bCs/>
                <w:color w:val="auto"/>
                <w:szCs w:val="2"/>
                <w:lang w:val="en-GB"/>
              </w:rPr>
            </w:pPr>
            <w:r>
              <w:rPr>
                <w:bCs/>
                <w:color w:val="auto"/>
                <w:szCs w:val="2"/>
                <w:lang w:val="en-GB"/>
              </w:rPr>
              <w:t>Original acquisition of title</w:t>
            </w:r>
          </w:p>
          <w:p w14:paraId="6D26A778" w14:textId="77777777" w:rsidR="0047606F" w:rsidRPr="00C70806" w:rsidRDefault="0047606F" w:rsidP="00204E23">
            <w:pPr>
              <w:pStyle w:val="TableHeader"/>
              <w:rPr>
                <w:bCs/>
                <w:color w:val="auto"/>
                <w:szCs w:val="2"/>
              </w:rPr>
            </w:pPr>
          </w:p>
        </w:tc>
      </w:tr>
      <w:tr w:rsidR="0047606F" w:rsidRPr="00D41215" w14:paraId="648D343F" w14:textId="77777777" w:rsidTr="003A6C2F">
        <w:trPr>
          <w:trHeight w:hRule="exact" w:val="68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617E5272" w14:textId="77777777" w:rsidR="00137C4C" w:rsidRDefault="0047606F" w:rsidP="00137C4C">
            <w:pPr>
              <w:pStyle w:val="TableHeader"/>
              <w:tabs>
                <w:tab w:val="left" w:pos="279"/>
              </w:tabs>
              <w:ind w:left="491" w:hanging="491"/>
              <w:rPr>
                <w:color w:val="auto"/>
                <w:szCs w:val="2"/>
              </w:rPr>
            </w:pPr>
            <w:r>
              <w:rPr>
                <w:color w:val="auto"/>
                <w:szCs w:val="2"/>
              </w:rPr>
              <w:t>Q3:</w:t>
            </w:r>
            <w:r w:rsidR="00137C4C">
              <w:rPr>
                <w:color w:val="auto"/>
                <w:szCs w:val="2"/>
              </w:rPr>
              <w:t xml:space="preserve"> </w:t>
            </w:r>
            <w:r>
              <w:rPr>
                <w:color w:val="auto"/>
                <w:szCs w:val="2"/>
              </w:rPr>
              <w:t xml:space="preserve">Do you agree with our general approach to Article 11 of the DAL, in relation to control being the root of title? If not, what changes </w:t>
            </w:r>
          </w:p>
          <w:p w14:paraId="462DC28B" w14:textId="77777777" w:rsidR="0047606F" w:rsidRDefault="00137C4C" w:rsidP="00137C4C">
            <w:pPr>
              <w:pStyle w:val="TableHeader"/>
              <w:tabs>
                <w:tab w:val="left" w:pos="279"/>
              </w:tabs>
              <w:ind w:left="491" w:hanging="491"/>
              <w:rPr>
                <w:color w:val="auto"/>
                <w:szCs w:val="2"/>
              </w:rPr>
            </w:pPr>
            <w:r>
              <w:rPr>
                <w:color w:val="auto"/>
                <w:szCs w:val="2"/>
              </w:rPr>
              <w:t xml:space="preserve">       </w:t>
            </w:r>
            <w:r w:rsidR="0047606F">
              <w:rPr>
                <w:color w:val="auto"/>
                <w:szCs w:val="2"/>
              </w:rPr>
              <w:t>do you suggest?</w:t>
            </w:r>
          </w:p>
        </w:tc>
      </w:tr>
      <w:tr w:rsidR="000C5C06" w:rsidRPr="00D41215" w14:paraId="66729A94"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81A485B"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3567B03"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7BA0585" w14:textId="77777777" w:rsidR="000C5C06" w:rsidRPr="000C5C06" w:rsidRDefault="000C5C06" w:rsidP="000C5C06">
            <w:pPr>
              <w:pStyle w:val="TableHeader"/>
              <w:rPr>
                <w:b w:val="0"/>
                <w:color w:val="auto"/>
                <w:szCs w:val="2"/>
              </w:rPr>
            </w:pPr>
          </w:p>
        </w:tc>
      </w:tr>
      <w:tr w:rsidR="000C5C06" w:rsidRPr="00D41215" w14:paraId="56726C5D"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5A102BF"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CF33135"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8B36D3C" w14:textId="77777777" w:rsidR="000C5C06" w:rsidRPr="000C5C06" w:rsidRDefault="000C5C06" w:rsidP="000C5C06">
            <w:pPr>
              <w:pStyle w:val="TableHeader"/>
              <w:rPr>
                <w:b w:val="0"/>
                <w:color w:val="auto"/>
                <w:szCs w:val="2"/>
              </w:rPr>
            </w:pPr>
          </w:p>
        </w:tc>
      </w:tr>
      <w:tr w:rsidR="00BF4372" w:rsidRPr="00D41215" w14:paraId="5DC6C016" w14:textId="77777777" w:rsidTr="002210AA">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7EB41641" w14:textId="77777777" w:rsidR="00BF4372" w:rsidRPr="000C5C06" w:rsidRDefault="00BF4372" w:rsidP="000C5C06">
            <w:pPr>
              <w:pStyle w:val="TableHeader"/>
              <w:rPr>
                <w:b w:val="0"/>
                <w:color w:val="auto"/>
                <w:szCs w:val="2"/>
              </w:rPr>
            </w:pPr>
            <w:r>
              <w:rPr>
                <w:color w:val="auto"/>
                <w:szCs w:val="2"/>
              </w:rPr>
              <w:t xml:space="preserve">Q4: </w:t>
            </w:r>
            <w:r>
              <w:rPr>
                <w:rFonts w:cstheme="minorHAnsi"/>
                <w:color w:val="auto"/>
                <w:spacing w:val="1"/>
                <w:szCs w:val="22"/>
                <w:lang w:eastAsia="zh-CN"/>
              </w:rPr>
              <w:t>Do you have any concerns about Article 11? If so, how could it be improved?</w:t>
            </w:r>
          </w:p>
        </w:tc>
      </w:tr>
      <w:tr w:rsidR="00BF4372" w:rsidRPr="00D41215" w14:paraId="1994AF70"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CC3EB3A" w14:textId="77777777" w:rsidR="00BF4372" w:rsidRPr="000C5C06" w:rsidRDefault="00BF4372"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323E4BD" w14:textId="77777777" w:rsidR="00BF4372" w:rsidRPr="000C5C06" w:rsidRDefault="00BF4372"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30B0A3D" w14:textId="77777777" w:rsidR="00BF4372" w:rsidRPr="000C5C06" w:rsidRDefault="00BF4372" w:rsidP="000C5C06">
            <w:pPr>
              <w:pStyle w:val="TableHeader"/>
              <w:rPr>
                <w:b w:val="0"/>
                <w:color w:val="auto"/>
                <w:szCs w:val="2"/>
              </w:rPr>
            </w:pPr>
          </w:p>
        </w:tc>
      </w:tr>
      <w:tr w:rsidR="008455C0" w:rsidRPr="00D41215" w14:paraId="247B1C95"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81B1707" w14:textId="77777777" w:rsidR="008455C0" w:rsidRPr="000C5C06" w:rsidRDefault="008455C0"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24F625A" w14:textId="77777777" w:rsidR="008455C0" w:rsidRPr="000C5C06" w:rsidRDefault="008455C0"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A7CE571" w14:textId="77777777" w:rsidR="008455C0" w:rsidRPr="000C5C06" w:rsidRDefault="008455C0" w:rsidP="000C5C06">
            <w:pPr>
              <w:pStyle w:val="TableHeader"/>
              <w:rPr>
                <w:b w:val="0"/>
                <w:color w:val="auto"/>
                <w:szCs w:val="2"/>
              </w:rPr>
            </w:pPr>
          </w:p>
        </w:tc>
      </w:tr>
      <w:tr w:rsidR="000C5C06" w:rsidRPr="00D41215" w14:paraId="1B5B5803" w14:textId="77777777" w:rsidTr="00B761B0">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220455C6" w14:textId="77777777" w:rsidR="000C5C06" w:rsidRPr="002B14C2" w:rsidRDefault="008455C0" w:rsidP="000C5C06">
            <w:pPr>
              <w:pStyle w:val="TableHeader"/>
              <w:rPr>
                <w:color w:val="auto"/>
                <w:szCs w:val="2"/>
              </w:rPr>
            </w:pPr>
            <w:r>
              <w:rPr>
                <w:color w:val="auto"/>
                <w:szCs w:val="2"/>
              </w:rPr>
              <w:t>Transfer of title</w:t>
            </w:r>
          </w:p>
        </w:tc>
      </w:tr>
      <w:tr w:rsidR="003A6C2F" w:rsidRPr="00D41215" w14:paraId="2DE56D81" w14:textId="77777777" w:rsidTr="003A6C2F">
        <w:trPr>
          <w:trHeight w:hRule="exact" w:val="634"/>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1A4C1EB8" w14:textId="77777777" w:rsidR="008455C0" w:rsidRDefault="008455C0" w:rsidP="008455C0">
            <w:pPr>
              <w:pStyle w:val="TableHeader"/>
              <w:ind w:left="349" w:hanging="349"/>
              <w:rPr>
                <w:bCs/>
                <w:color w:val="auto"/>
                <w:szCs w:val="2"/>
              </w:rPr>
            </w:pPr>
            <w:r>
              <w:rPr>
                <w:color w:val="auto"/>
                <w:szCs w:val="2"/>
              </w:rPr>
              <w:t>Q5</w:t>
            </w:r>
            <w:r w:rsidR="003A6C2F">
              <w:rPr>
                <w:color w:val="auto"/>
                <w:szCs w:val="2"/>
              </w:rPr>
              <w:t xml:space="preserve">: </w:t>
            </w:r>
            <w:r>
              <w:rPr>
                <w:bCs/>
                <w:color w:val="auto"/>
                <w:szCs w:val="2"/>
              </w:rPr>
              <w:t xml:space="preserve">Do you agree with the general rule that title is transferred by a change of control plus an intention to transfer title? If not, what </w:t>
            </w:r>
          </w:p>
          <w:p w14:paraId="75433216" w14:textId="77777777" w:rsidR="003A6C2F" w:rsidRPr="002B14C2" w:rsidRDefault="008455C0" w:rsidP="008455C0">
            <w:pPr>
              <w:pStyle w:val="TableHeader"/>
              <w:ind w:left="349" w:hanging="349"/>
              <w:rPr>
                <w:color w:val="auto"/>
                <w:szCs w:val="2"/>
              </w:rPr>
            </w:pPr>
            <w:r>
              <w:rPr>
                <w:bCs/>
                <w:color w:val="auto"/>
                <w:szCs w:val="2"/>
              </w:rPr>
              <w:t xml:space="preserve">       should the general rule be?</w:t>
            </w:r>
          </w:p>
        </w:tc>
      </w:tr>
      <w:tr w:rsidR="003A6C2F" w:rsidRPr="00D41215" w14:paraId="7CE2A4FD"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5A6BCE9" w14:textId="77777777" w:rsidR="003A6C2F" w:rsidRPr="000C5C06" w:rsidRDefault="003A6C2F" w:rsidP="00640A60">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8AA28AF" w14:textId="77777777" w:rsidR="003A6C2F" w:rsidRPr="000C5C06" w:rsidRDefault="003A6C2F" w:rsidP="00640A60">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2E7ACF3" w14:textId="77777777" w:rsidR="003A6C2F" w:rsidRPr="000C5C06" w:rsidRDefault="003A6C2F" w:rsidP="00640A60">
            <w:pPr>
              <w:pStyle w:val="TableHeader"/>
              <w:rPr>
                <w:b w:val="0"/>
                <w:color w:val="auto"/>
                <w:szCs w:val="2"/>
              </w:rPr>
            </w:pPr>
          </w:p>
        </w:tc>
      </w:tr>
      <w:tr w:rsidR="003A6C2F" w:rsidRPr="00D41215" w14:paraId="540EAD9D"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DE07F63" w14:textId="77777777" w:rsidR="003A6C2F" w:rsidRPr="000C5C06" w:rsidRDefault="003A6C2F" w:rsidP="00640A60">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883CE02" w14:textId="77777777" w:rsidR="003A6C2F" w:rsidRPr="000C5C06" w:rsidRDefault="003A6C2F" w:rsidP="00640A60">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38302CA" w14:textId="77777777" w:rsidR="003A6C2F" w:rsidRPr="000C5C06" w:rsidRDefault="003A6C2F" w:rsidP="00640A60">
            <w:pPr>
              <w:pStyle w:val="TableHeader"/>
              <w:rPr>
                <w:b w:val="0"/>
                <w:color w:val="auto"/>
                <w:szCs w:val="2"/>
              </w:rPr>
            </w:pPr>
          </w:p>
        </w:tc>
      </w:tr>
      <w:tr w:rsidR="000C5C06" w:rsidRPr="00D41215" w14:paraId="4AA8ABB4" w14:textId="77777777" w:rsidTr="008455C0">
        <w:trPr>
          <w:trHeight w:hRule="exact" w:val="772"/>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52273CA5" w14:textId="77777777" w:rsidR="002B6C58" w:rsidRDefault="008455C0" w:rsidP="000C5C06">
            <w:pPr>
              <w:pStyle w:val="TableHeader"/>
              <w:rPr>
                <w:bCs/>
                <w:color w:val="auto"/>
                <w:szCs w:val="2"/>
              </w:rPr>
            </w:pPr>
            <w:r>
              <w:rPr>
                <w:color w:val="auto"/>
                <w:szCs w:val="2"/>
              </w:rPr>
              <w:t>Q6</w:t>
            </w:r>
            <w:r w:rsidR="000C5C06">
              <w:rPr>
                <w:color w:val="auto"/>
                <w:szCs w:val="2"/>
              </w:rPr>
              <w:t xml:space="preserve">: </w:t>
            </w:r>
            <w:r>
              <w:rPr>
                <w:bCs/>
                <w:color w:val="auto"/>
                <w:szCs w:val="2"/>
              </w:rPr>
              <w:t xml:space="preserve">Do you agree with the threshold we propose in relation to what constitutes a change of control for the purposes of the transfer of </w:t>
            </w:r>
          </w:p>
          <w:p w14:paraId="464E7343" w14:textId="77777777" w:rsidR="000C5C06" w:rsidRPr="002B14C2" w:rsidRDefault="002B6C58" w:rsidP="000C5C06">
            <w:pPr>
              <w:pStyle w:val="TableHeader"/>
              <w:rPr>
                <w:color w:val="auto"/>
                <w:szCs w:val="2"/>
              </w:rPr>
            </w:pPr>
            <w:r>
              <w:rPr>
                <w:bCs/>
                <w:color w:val="auto"/>
                <w:szCs w:val="2"/>
              </w:rPr>
              <w:t xml:space="preserve">       </w:t>
            </w:r>
            <w:r w:rsidR="008455C0">
              <w:rPr>
                <w:bCs/>
                <w:color w:val="auto"/>
                <w:szCs w:val="2"/>
              </w:rPr>
              <w:t xml:space="preserve">title rule? If </w:t>
            </w:r>
            <w:proofErr w:type="gramStart"/>
            <w:r w:rsidR="008455C0">
              <w:rPr>
                <w:bCs/>
                <w:color w:val="auto"/>
                <w:szCs w:val="2"/>
              </w:rPr>
              <w:t>not</w:t>
            </w:r>
            <w:proofErr w:type="gramEnd"/>
            <w:r w:rsidR="008455C0">
              <w:rPr>
                <w:bCs/>
                <w:color w:val="auto"/>
                <w:szCs w:val="2"/>
              </w:rPr>
              <w:t xml:space="preserve"> what should the threshold be?</w:t>
            </w:r>
          </w:p>
        </w:tc>
      </w:tr>
      <w:tr w:rsidR="000C5C06" w:rsidRPr="00D41215" w14:paraId="6C0D74D5"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3CFF47A"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BE2CF3A"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734B4EA" w14:textId="77777777" w:rsidR="000C5C06" w:rsidRPr="000C5C06" w:rsidRDefault="000C5C06" w:rsidP="000C5C06">
            <w:pPr>
              <w:pStyle w:val="TableHeader"/>
              <w:rPr>
                <w:b w:val="0"/>
                <w:color w:val="auto"/>
                <w:szCs w:val="2"/>
              </w:rPr>
            </w:pPr>
          </w:p>
        </w:tc>
      </w:tr>
      <w:tr w:rsidR="000C5C06" w:rsidRPr="00D41215" w14:paraId="605BEED4"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B480AEF"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5D860E4"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90A0484" w14:textId="77777777" w:rsidR="000C5C06" w:rsidRPr="000C5C06" w:rsidRDefault="000C5C06" w:rsidP="000C5C06">
            <w:pPr>
              <w:pStyle w:val="TableHeader"/>
              <w:rPr>
                <w:b w:val="0"/>
                <w:color w:val="auto"/>
                <w:szCs w:val="2"/>
              </w:rPr>
            </w:pPr>
          </w:p>
        </w:tc>
      </w:tr>
      <w:tr w:rsidR="008455C0" w:rsidRPr="00D41215" w14:paraId="704E5720" w14:textId="77777777" w:rsidTr="008455C0">
        <w:trPr>
          <w:trHeight w:hRule="exact" w:val="743"/>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41E621AB" w14:textId="77777777" w:rsidR="00B46A90" w:rsidRDefault="008455C0" w:rsidP="00B46A90">
            <w:pPr>
              <w:pStyle w:val="TableHeader"/>
              <w:ind w:left="491" w:hanging="491"/>
              <w:rPr>
                <w:bCs/>
                <w:color w:val="auto"/>
                <w:szCs w:val="2"/>
              </w:rPr>
            </w:pPr>
            <w:r>
              <w:rPr>
                <w:color w:val="auto"/>
                <w:szCs w:val="2"/>
              </w:rPr>
              <w:t xml:space="preserve">Q7: </w:t>
            </w:r>
            <w:r>
              <w:rPr>
                <w:bCs/>
                <w:color w:val="auto"/>
                <w:szCs w:val="2"/>
              </w:rPr>
              <w:t xml:space="preserve">Do you agree with </w:t>
            </w:r>
            <w:proofErr w:type="gramStart"/>
            <w:r>
              <w:rPr>
                <w:bCs/>
                <w:color w:val="auto"/>
                <w:szCs w:val="2"/>
              </w:rPr>
              <w:t>the  Article</w:t>
            </w:r>
            <w:proofErr w:type="gramEnd"/>
            <w:r>
              <w:rPr>
                <w:bCs/>
                <w:color w:val="auto"/>
                <w:szCs w:val="2"/>
              </w:rPr>
              <w:t xml:space="preserve"> 13 exception to the ‘change of control’ rule for transfers of title? If not, which of the proposed </w:t>
            </w:r>
          </w:p>
          <w:p w14:paraId="34A6711E" w14:textId="77777777" w:rsidR="008455C0" w:rsidRPr="000C5C06" w:rsidRDefault="00B46A90" w:rsidP="00B46A90">
            <w:pPr>
              <w:pStyle w:val="TableHeader"/>
              <w:ind w:left="491" w:hanging="491"/>
              <w:rPr>
                <w:b w:val="0"/>
                <w:color w:val="auto"/>
                <w:szCs w:val="2"/>
              </w:rPr>
            </w:pPr>
            <w:r>
              <w:rPr>
                <w:bCs/>
                <w:color w:val="auto"/>
                <w:szCs w:val="2"/>
              </w:rPr>
              <w:t xml:space="preserve">       </w:t>
            </w:r>
            <w:r w:rsidR="008455C0">
              <w:rPr>
                <w:bCs/>
                <w:color w:val="auto"/>
                <w:szCs w:val="2"/>
              </w:rPr>
              <w:t>exceptions should be deleted, or what additional exceptions are desirable?</w:t>
            </w:r>
          </w:p>
        </w:tc>
      </w:tr>
      <w:tr w:rsidR="008455C0" w:rsidRPr="00D41215" w14:paraId="0B26C617"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08714E8E" w14:textId="77777777" w:rsidR="008455C0" w:rsidRPr="000C5C06" w:rsidRDefault="008455C0"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DDF4EA9" w14:textId="77777777" w:rsidR="008455C0" w:rsidRPr="000C5C06" w:rsidRDefault="008455C0"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AD9A89F" w14:textId="77777777" w:rsidR="008455C0" w:rsidRPr="000C5C06" w:rsidRDefault="008455C0" w:rsidP="000C5C06">
            <w:pPr>
              <w:pStyle w:val="TableHeader"/>
              <w:rPr>
                <w:b w:val="0"/>
                <w:color w:val="auto"/>
                <w:szCs w:val="2"/>
              </w:rPr>
            </w:pPr>
          </w:p>
        </w:tc>
      </w:tr>
      <w:tr w:rsidR="008455C0" w:rsidRPr="00D41215" w14:paraId="73C4ECE1"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698A0A3D" w14:textId="77777777" w:rsidR="008455C0" w:rsidRPr="000C5C06" w:rsidRDefault="008455C0"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FB7B49A" w14:textId="77777777" w:rsidR="008455C0" w:rsidRPr="000C5C06" w:rsidRDefault="008455C0"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5986E1B" w14:textId="77777777" w:rsidR="008455C0" w:rsidRPr="000C5C06" w:rsidRDefault="008455C0" w:rsidP="000C5C06">
            <w:pPr>
              <w:pStyle w:val="TableHeader"/>
              <w:rPr>
                <w:b w:val="0"/>
                <w:color w:val="auto"/>
                <w:szCs w:val="2"/>
              </w:rPr>
            </w:pPr>
          </w:p>
        </w:tc>
      </w:tr>
      <w:tr w:rsidR="008455C0" w:rsidRPr="00D41215" w14:paraId="43AE9302" w14:textId="77777777" w:rsidTr="00204E23">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64C0634E" w14:textId="77777777" w:rsidR="008455C0" w:rsidRPr="002B14C2" w:rsidRDefault="008455C0" w:rsidP="00204E23">
            <w:pPr>
              <w:pStyle w:val="TableHeader"/>
              <w:rPr>
                <w:color w:val="auto"/>
                <w:szCs w:val="2"/>
              </w:rPr>
            </w:pPr>
            <w:r>
              <w:rPr>
                <w:color w:val="auto"/>
                <w:szCs w:val="2"/>
              </w:rPr>
              <w:t>Interference/impairment of use</w:t>
            </w:r>
          </w:p>
        </w:tc>
      </w:tr>
      <w:tr w:rsidR="008455C0" w:rsidRPr="00D41215" w14:paraId="163FA430" w14:textId="77777777" w:rsidTr="000B0A4D">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1B4A8E3E" w14:textId="77777777" w:rsidR="008455C0" w:rsidRPr="000C5C06" w:rsidRDefault="008455C0" w:rsidP="008455C0">
            <w:pPr>
              <w:pStyle w:val="TableHeader"/>
              <w:rPr>
                <w:b w:val="0"/>
                <w:color w:val="auto"/>
                <w:szCs w:val="2"/>
              </w:rPr>
            </w:pPr>
            <w:r>
              <w:rPr>
                <w:color w:val="auto"/>
                <w:szCs w:val="2"/>
              </w:rPr>
              <w:t xml:space="preserve">Q8: </w:t>
            </w:r>
            <w:r>
              <w:rPr>
                <w:bCs/>
                <w:color w:val="auto"/>
                <w:szCs w:val="2"/>
              </w:rPr>
              <w:t>Do you agree with the conduct element we propose in respect of the Article 14 impairment regime? If not, what should it be?</w:t>
            </w:r>
          </w:p>
        </w:tc>
      </w:tr>
      <w:tr w:rsidR="008455C0" w:rsidRPr="00D41215" w14:paraId="767DDA66"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28A79BD" w14:textId="77777777" w:rsidR="008455C0" w:rsidRPr="000C5C06" w:rsidRDefault="008455C0"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56D1942" w14:textId="77777777" w:rsidR="008455C0" w:rsidRPr="000C5C06" w:rsidRDefault="008455C0"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56ECB66" w14:textId="77777777" w:rsidR="008455C0" w:rsidRPr="000C5C06" w:rsidRDefault="008455C0" w:rsidP="000C5C06">
            <w:pPr>
              <w:pStyle w:val="TableHeader"/>
              <w:rPr>
                <w:b w:val="0"/>
                <w:color w:val="auto"/>
                <w:szCs w:val="2"/>
              </w:rPr>
            </w:pPr>
          </w:p>
        </w:tc>
      </w:tr>
      <w:tr w:rsidR="008455C0" w:rsidRPr="00D41215" w14:paraId="6FD59089"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5306CCB" w14:textId="77777777" w:rsidR="008455C0" w:rsidRPr="000C5C06" w:rsidRDefault="008455C0"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DCA9DC2" w14:textId="77777777" w:rsidR="008455C0" w:rsidRPr="000C5C06" w:rsidRDefault="008455C0"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112F88A" w14:textId="77777777" w:rsidR="008455C0" w:rsidRPr="000C5C06" w:rsidRDefault="008455C0" w:rsidP="000C5C06">
            <w:pPr>
              <w:pStyle w:val="TableHeader"/>
              <w:rPr>
                <w:b w:val="0"/>
                <w:color w:val="auto"/>
                <w:szCs w:val="2"/>
              </w:rPr>
            </w:pPr>
          </w:p>
        </w:tc>
      </w:tr>
      <w:tr w:rsidR="00A23827" w:rsidRPr="00D41215" w14:paraId="56C7C6E6" w14:textId="77777777" w:rsidTr="00AA1B2F">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6F16BFC4" w14:textId="77777777" w:rsidR="00A23827" w:rsidRPr="000C5C06" w:rsidRDefault="00A23827" w:rsidP="00A23827">
            <w:pPr>
              <w:pStyle w:val="TableHeader"/>
              <w:rPr>
                <w:b w:val="0"/>
                <w:color w:val="auto"/>
                <w:szCs w:val="2"/>
              </w:rPr>
            </w:pPr>
            <w:r>
              <w:rPr>
                <w:color w:val="auto"/>
                <w:szCs w:val="2"/>
              </w:rPr>
              <w:t xml:space="preserve">Q9: </w:t>
            </w:r>
            <w:r>
              <w:rPr>
                <w:bCs/>
                <w:color w:val="auto"/>
                <w:szCs w:val="2"/>
              </w:rPr>
              <w:t>Do you agree with the mental requirement we propose in respect of the Article 14 impairment regime? If not, how should it be formulated?</w:t>
            </w:r>
          </w:p>
        </w:tc>
      </w:tr>
      <w:tr w:rsidR="00A23827" w:rsidRPr="00D41215" w14:paraId="2AA0A7F3"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92659C5" w14:textId="77777777" w:rsidR="00A23827" w:rsidRPr="000C5C06" w:rsidRDefault="00A23827" w:rsidP="00A23827">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F4EA9D7" w14:textId="77777777" w:rsidR="00A23827" w:rsidRPr="000C5C06" w:rsidRDefault="00A23827" w:rsidP="00A23827">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7D67DB0" w14:textId="77777777" w:rsidR="00A23827" w:rsidRPr="000C5C06" w:rsidRDefault="00A23827" w:rsidP="00A23827">
            <w:pPr>
              <w:pStyle w:val="TableHeader"/>
              <w:rPr>
                <w:b w:val="0"/>
                <w:color w:val="auto"/>
                <w:szCs w:val="2"/>
              </w:rPr>
            </w:pPr>
          </w:p>
        </w:tc>
      </w:tr>
      <w:tr w:rsidR="00043711" w:rsidRPr="00D41215" w14:paraId="165CD8A6"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E4A0427" w14:textId="77777777" w:rsidR="00043711" w:rsidRPr="000C5C06" w:rsidRDefault="00043711" w:rsidP="00A23827">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88E2064" w14:textId="77777777" w:rsidR="00043711" w:rsidRPr="000C5C06" w:rsidRDefault="00043711" w:rsidP="00A23827">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F7D5619" w14:textId="77777777" w:rsidR="00043711" w:rsidRPr="000C5C06" w:rsidRDefault="00043711" w:rsidP="00A23827">
            <w:pPr>
              <w:pStyle w:val="TableHeader"/>
              <w:rPr>
                <w:b w:val="0"/>
                <w:color w:val="auto"/>
                <w:szCs w:val="2"/>
              </w:rPr>
            </w:pPr>
          </w:p>
        </w:tc>
      </w:tr>
      <w:tr w:rsidR="00331CE4" w:rsidRPr="00D41215" w14:paraId="3CB71071"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057D50A" w14:textId="77777777" w:rsidR="00331CE4" w:rsidRPr="000C5C06" w:rsidRDefault="00331CE4" w:rsidP="00A23827">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494D093" w14:textId="77777777" w:rsidR="00331CE4" w:rsidRPr="000C5C06" w:rsidRDefault="00331CE4" w:rsidP="00A23827">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C127FA2" w14:textId="77777777" w:rsidR="00331CE4" w:rsidRPr="000C5C06" w:rsidRDefault="00331CE4" w:rsidP="00A23827">
            <w:pPr>
              <w:pStyle w:val="TableHeader"/>
              <w:rPr>
                <w:b w:val="0"/>
                <w:color w:val="auto"/>
                <w:szCs w:val="2"/>
              </w:rPr>
            </w:pPr>
          </w:p>
        </w:tc>
      </w:tr>
      <w:tr w:rsidR="00331CE4" w:rsidRPr="00D41215" w14:paraId="209E72A3" w14:textId="77777777" w:rsidTr="00331CE4">
        <w:trPr>
          <w:trHeight w:hRule="exact" w:val="77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55FE876E" w14:textId="77777777" w:rsidR="00331CE4" w:rsidRPr="000C5C06" w:rsidRDefault="00331CE4" w:rsidP="00331CE4">
            <w:pPr>
              <w:pStyle w:val="TableHeader"/>
              <w:ind w:left="491" w:hanging="491"/>
              <w:rPr>
                <w:b w:val="0"/>
                <w:color w:val="auto"/>
                <w:szCs w:val="2"/>
              </w:rPr>
            </w:pPr>
            <w:r>
              <w:rPr>
                <w:color w:val="auto"/>
                <w:szCs w:val="2"/>
              </w:rPr>
              <w:t xml:space="preserve">Q10: </w:t>
            </w:r>
            <w:r>
              <w:rPr>
                <w:bCs/>
                <w:color w:val="auto"/>
                <w:szCs w:val="2"/>
              </w:rPr>
              <w:t xml:space="preserve">Do you agree with the proposed scope of </w:t>
            </w:r>
            <w:proofErr w:type="spellStart"/>
            <w:r>
              <w:rPr>
                <w:bCs/>
                <w:color w:val="auto"/>
                <w:szCs w:val="2"/>
              </w:rPr>
              <w:t>defences</w:t>
            </w:r>
            <w:proofErr w:type="spellEnd"/>
            <w:r>
              <w:rPr>
                <w:bCs/>
                <w:color w:val="auto"/>
                <w:szCs w:val="2"/>
              </w:rPr>
              <w:t xml:space="preserve"> in respect of the Article 14 impairment regime? If not, what </w:t>
            </w:r>
            <w:proofErr w:type="spellStart"/>
            <w:r>
              <w:rPr>
                <w:bCs/>
                <w:color w:val="auto"/>
                <w:szCs w:val="2"/>
              </w:rPr>
              <w:t>defences</w:t>
            </w:r>
            <w:proofErr w:type="spellEnd"/>
            <w:r>
              <w:rPr>
                <w:bCs/>
                <w:color w:val="auto"/>
                <w:szCs w:val="2"/>
              </w:rPr>
              <w:t xml:space="preserve"> should be available?</w:t>
            </w:r>
          </w:p>
        </w:tc>
      </w:tr>
      <w:tr w:rsidR="00331CE4" w:rsidRPr="00D41215" w14:paraId="5C3EEAC0"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9A08B5D" w14:textId="77777777" w:rsidR="00331CE4" w:rsidRPr="000C5C06" w:rsidRDefault="00331CE4" w:rsidP="00A23827">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F0F58D0" w14:textId="77777777" w:rsidR="00331CE4" w:rsidRPr="000C5C06" w:rsidRDefault="00331CE4" w:rsidP="00A23827">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ACED7F0" w14:textId="77777777" w:rsidR="00331CE4" w:rsidRPr="000C5C06" w:rsidRDefault="00331CE4" w:rsidP="00A23827">
            <w:pPr>
              <w:pStyle w:val="TableHeader"/>
              <w:rPr>
                <w:b w:val="0"/>
                <w:color w:val="auto"/>
                <w:szCs w:val="2"/>
              </w:rPr>
            </w:pPr>
          </w:p>
        </w:tc>
      </w:tr>
      <w:tr w:rsidR="00331CE4" w:rsidRPr="00D41215" w14:paraId="7C5B8423"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4C0BC69" w14:textId="77777777" w:rsidR="00331CE4" w:rsidRPr="000C5C06" w:rsidRDefault="00331CE4" w:rsidP="00A23827">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109013B" w14:textId="77777777" w:rsidR="00331CE4" w:rsidRPr="000C5C06" w:rsidRDefault="00331CE4" w:rsidP="00A23827">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180FC4A" w14:textId="77777777" w:rsidR="00331CE4" w:rsidRPr="000C5C06" w:rsidRDefault="00331CE4" w:rsidP="00A23827">
            <w:pPr>
              <w:pStyle w:val="TableHeader"/>
              <w:rPr>
                <w:b w:val="0"/>
                <w:color w:val="auto"/>
                <w:szCs w:val="2"/>
              </w:rPr>
            </w:pPr>
          </w:p>
        </w:tc>
      </w:tr>
      <w:tr w:rsidR="00043711" w:rsidRPr="00D41215" w14:paraId="77B143C7"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C83A824" w14:textId="77777777" w:rsidR="00043711" w:rsidRPr="000C5C06" w:rsidRDefault="00043711" w:rsidP="00A23827">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1D62D4A" w14:textId="77777777" w:rsidR="00043711" w:rsidRPr="000C5C06" w:rsidRDefault="00043711" w:rsidP="00A23827">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0946346" w14:textId="77777777" w:rsidR="00043711" w:rsidRPr="000C5C06" w:rsidRDefault="00043711" w:rsidP="00A23827">
            <w:pPr>
              <w:pStyle w:val="TableHeader"/>
              <w:rPr>
                <w:b w:val="0"/>
                <w:color w:val="auto"/>
                <w:szCs w:val="2"/>
              </w:rPr>
            </w:pPr>
          </w:p>
        </w:tc>
      </w:tr>
      <w:tr w:rsidR="00331CE4" w:rsidRPr="00D41215" w14:paraId="5505C21E" w14:textId="77777777" w:rsidTr="00204E23">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5DE92A39" w14:textId="77777777" w:rsidR="00331CE4" w:rsidRPr="002B14C2" w:rsidRDefault="00331CE4" w:rsidP="00204E23">
            <w:pPr>
              <w:pStyle w:val="TableHeader"/>
              <w:rPr>
                <w:color w:val="auto"/>
                <w:szCs w:val="2"/>
              </w:rPr>
            </w:pPr>
            <w:r>
              <w:rPr>
                <w:color w:val="auto"/>
                <w:szCs w:val="2"/>
              </w:rPr>
              <w:lastRenderedPageBreak/>
              <w:t>Recovery of control of a Digital Asset</w:t>
            </w:r>
          </w:p>
        </w:tc>
      </w:tr>
      <w:tr w:rsidR="00E73010" w:rsidRPr="00D41215" w14:paraId="46E5E48F" w14:textId="77777777" w:rsidTr="00E73010">
        <w:trPr>
          <w:trHeight w:hRule="exact" w:val="75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58F4EAF0" w14:textId="77777777" w:rsidR="00E73010" w:rsidRPr="000C5C06" w:rsidRDefault="00E73010" w:rsidP="00E73010">
            <w:pPr>
              <w:pStyle w:val="TableHeader"/>
              <w:ind w:left="491" w:hanging="491"/>
              <w:rPr>
                <w:b w:val="0"/>
                <w:color w:val="auto"/>
                <w:szCs w:val="2"/>
              </w:rPr>
            </w:pPr>
            <w:r>
              <w:rPr>
                <w:color w:val="auto"/>
                <w:szCs w:val="2"/>
              </w:rPr>
              <w:t xml:space="preserve">Q11: </w:t>
            </w:r>
            <w:r>
              <w:rPr>
                <w:bCs/>
                <w:color w:val="auto"/>
                <w:szCs w:val="2"/>
              </w:rPr>
              <w:t>Do you agree with the existence and scope of the Article 15 ‘recovery of control’ remedy? If not, what should be its scope?</w:t>
            </w:r>
          </w:p>
        </w:tc>
      </w:tr>
      <w:tr w:rsidR="00331CE4" w:rsidRPr="00D41215" w14:paraId="154524A2"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C7E26F3" w14:textId="77777777" w:rsidR="00331CE4" w:rsidRPr="000C5C06" w:rsidRDefault="00331CE4" w:rsidP="00A23827">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EA932CA" w14:textId="77777777" w:rsidR="00331CE4" w:rsidRPr="000C5C06" w:rsidRDefault="00331CE4" w:rsidP="00A23827">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C0E2243" w14:textId="77777777" w:rsidR="00331CE4" w:rsidRPr="000C5C06" w:rsidRDefault="00331CE4" w:rsidP="00A23827">
            <w:pPr>
              <w:pStyle w:val="TableHeader"/>
              <w:rPr>
                <w:b w:val="0"/>
                <w:color w:val="auto"/>
                <w:szCs w:val="2"/>
              </w:rPr>
            </w:pPr>
          </w:p>
        </w:tc>
      </w:tr>
      <w:tr w:rsidR="00E73010" w:rsidRPr="00D41215" w14:paraId="3261B36D"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89B087C" w14:textId="77777777" w:rsidR="00E73010" w:rsidRPr="000C5C06" w:rsidRDefault="00E73010" w:rsidP="00A23827">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EA14847" w14:textId="77777777" w:rsidR="00E73010" w:rsidRPr="000C5C06" w:rsidRDefault="00E73010" w:rsidP="00A23827">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C5E8D5B" w14:textId="77777777" w:rsidR="00E73010" w:rsidRPr="000C5C06" w:rsidRDefault="00E73010" w:rsidP="00A23827">
            <w:pPr>
              <w:pStyle w:val="TableHeader"/>
              <w:rPr>
                <w:b w:val="0"/>
                <w:color w:val="auto"/>
                <w:szCs w:val="2"/>
              </w:rPr>
            </w:pPr>
          </w:p>
        </w:tc>
      </w:tr>
      <w:tr w:rsidR="00B0644F" w:rsidRPr="00D41215" w14:paraId="055D8612" w14:textId="77777777" w:rsidTr="00204E23">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692D2E7E" w14:textId="77777777" w:rsidR="00B0644F" w:rsidRPr="002B14C2" w:rsidRDefault="00B0644F" w:rsidP="00204E23">
            <w:pPr>
              <w:pStyle w:val="TableHeader"/>
              <w:rPr>
                <w:color w:val="auto"/>
                <w:szCs w:val="2"/>
              </w:rPr>
            </w:pPr>
            <w:r>
              <w:rPr>
                <w:color w:val="auto"/>
                <w:szCs w:val="2"/>
              </w:rPr>
              <w:t>Bona fide purchase</w:t>
            </w:r>
          </w:p>
        </w:tc>
      </w:tr>
      <w:tr w:rsidR="00B0644F" w:rsidRPr="00D41215" w14:paraId="774D964B" w14:textId="77777777" w:rsidTr="00204E23">
        <w:trPr>
          <w:trHeight w:hRule="exact" w:val="75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6FED2266" w14:textId="77777777" w:rsidR="00B0644F" w:rsidRPr="000C5C06" w:rsidRDefault="00B0644F" w:rsidP="00B0644F">
            <w:pPr>
              <w:pStyle w:val="TableHeader"/>
              <w:ind w:left="491" w:hanging="491"/>
              <w:rPr>
                <w:b w:val="0"/>
                <w:color w:val="auto"/>
                <w:szCs w:val="2"/>
              </w:rPr>
            </w:pPr>
            <w:r>
              <w:rPr>
                <w:color w:val="auto"/>
                <w:szCs w:val="2"/>
              </w:rPr>
              <w:t>Q12:</w:t>
            </w:r>
            <w:r>
              <w:rPr>
                <w:bCs/>
                <w:color w:val="auto"/>
                <w:szCs w:val="2"/>
              </w:rPr>
              <w:t xml:space="preserve"> Do you agree with the scope and the knowledge thresholds of the bona fide purchase rules we have proposed? If not, what changes should be made?</w:t>
            </w:r>
          </w:p>
        </w:tc>
      </w:tr>
      <w:tr w:rsidR="00B0644F" w:rsidRPr="00D41215" w14:paraId="76D684E9"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68BA32B" w14:textId="77777777" w:rsidR="00B0644F" w:rsidRPr="000C5C06" w:rsidRDefault="00B0644F" w:rsidP="00A23827">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5FFA66C" w14:textId="77777777" w:rsidR="00B0644F" w:rsidRPr="000C5C06" w:rsidRDefault="00B0644F" w:rsidP="00A23827">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BA07C8A" w14:textId="77777777" w:rsidR="00B0644F" w:rsidRPr="000C5C06" w:rsidRDefault="00B0644F" w:rsidP="00A23827">
            <w:pPr>
              <w:pStyle w:val="TableHeader"/>
              <w:rPr>
                <w:b w:val="0"/>
                <w:color w:val="auto"/>
                <w:szCs w:val="2"/>
              </w:rPr>
            </w:pPr>
          </w:p>
        </w:tc>
      </w:tr>
      <w:tr w:rsidR="00B0644F" w:rsidRPr="00D41215" w14:paraId="08A99CB6"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EB5C320" w14:textId="77777777" w:rsidR="00B0644F" w:rsidRPr="000C5C06" w:rsidRDefault="00B0644F" w:rsidP="00A23827">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E0B6C6E" w14:textId="77777777" w:rsidR="00B0644F" w:rsidRPr="000C5C06" w:rsidRDefault="00B0644F" w:rsidP="00A23827">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74B8E94" w14:textId="77777777" w:rsidR="00B0644F" w:rsidRPr="000C5C06" w:rsidRDefault="00B0644F" w:rsidP="00A23827">
            <w:pPr>
              <w:pStyle w:val="TableHeader"/>
              <w:rPr>
                <w:b w:val="0"/>
                <w:color w:val="auto"/>
                <w:szCs w:val="2"/>
              </w:rPr>
            </w:pPr>
          </w:p>
        </w:tc>
      </w:tr>
      <w:tr w:rsidR="00B0644F" w:rsidRPr="00D41215" w14:paraId="4EB4C3E2" w14:textId="77777777" w:rsidTr="00204E23">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6DED9688" w14:textId="77777777" w:rsidR="00B0644F" w:rsidRPr="002B14C2" w:rsidRDefault="00B0644F" w:rsidP="00204E23">
            <w:pPr>
              <w:pStyle w:val="TableHeader"/>
              <w:rPr>
                <w:color w:val="auto"/>
                <w:szCs w:val="2"/>
              </w:rPr>
            </w:pPr>
            <w:r>
              <w:rPr>
                <w:color w:val="auto"/>
                <w:szCs w:val="2"/>
              </w:rPr>
              <w:t>Contract Law amendments</w:t>
            </w:r>
          </w:p>
        </w:tc>
      </w:tr>
      <w:tr w:rsidR="00B0644F" w:rsidRPr="00D41215" w14:paraId="2A901EAF" w14:textId="77777777" w:rsidTr="00B0644F">
        <w:trPr>
          <w:trHeight w:hRule="exact" w:val="1121"/>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07CBA546" w14:textId="77777777" w:rsidR="00B0644F" w:rsidRPr="000C5C06" w:rsidRDefault="00B0644F" w:rsidP="00204E23">
            <w:pPr>
              <w:pStyle w:val="TableHeader"/>
              <w:ind w:left="491" w:hanging="491"/>
              <w:rPr>
                <w:b w:val="0"/>
                <w:color w:val="auto"/>
                <w:szCs w:val="2"/>
              </w:rPr>
            </w:pPr>
            <w:r>
              <w:rPr>
                <w:color w:val="auto"/>
                <w:szCs w:val="2"/>
              </w:rPr>
              <w:t>Q13:</w:t>
            </w:r>
            <w:r>
              <w:rPr>
                <w:bCs/>
                <w:color w:val="auto"/>
                <w:szCs w:val="2"/>
              </w:rPr>
              <w:t xml:space="preserve"> Should leave open what “commercial standards of fair dealing” means for the purpose of Article 37(2)(e) of the Contract Law, or should we have explicit guidelines in Article 37 as to what constitutes “commercial standards of fair dealing”? if </w:t>
            </w:r>
            <w:proofErr w:type="gramStart"/>
            <w:r>
              <w:rPr>
                <w:bCs/>
                <w:color w:val="auto"/>
                <w:szCs w:val="2"/>
              </w:rPr>
              <w:t>so</w:t>
            </w:r>
            <w:proofErr w:type="gramEnd"/>
            <w:r>
              <w:rPr>
                <w:bCs/>
                <w:color w:val="auto"/>
                <w:szCs w:val="2"/>
              </w:rPr>
              <w:t xml:space="preserve"> what should those guidelines provide?</w:t>
            </w:r>
          </w:p>
        </w:tc>
      </w:tr>
      <w:tr w:rsidR="00B0644F" w:rsidRPr="00D41215" w14:paraId="31A5E80E"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5F5F883" w14:textId="77777777" w:rsidR="00B0644F" w:rsidRPr="000C5C06" w:rsidRDefault="00B0644F" w:rsidP="00A23827">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84BAABA" w14:textId="77777777" w:rsidR="00B0644F" w:rsidRPr="000C5C06" w:rsidRDefault="00B0644F" w:rsidP="00A23827">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9E1AC91" w14:textId="77777777" w:rsidR="00B0644F" w:rsidRPr="000C5C06" w:rsidRDefault="00B0644F" w:rsidP="00A23827">
            <w:pPr>
              <w:pStyle w:val="TableHeader"/>
              <w:rPr>
                <w:b w:val="0"/>
                <w:color w:val="auto"/>
                <w:szCs w:val="2"/>
              </w:rPr>
            </w:pPr>
          </w:p>
        </w:tc>
      </w:tr>
      <w:tr w:rsidR="00B0644F" w:rsidRPr="00D41215" w14:paraId="30C69B35"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4C42F76" w14:textId="77777777" w:rsidR="00B0644F" w:rsidRPr="000C5C06" w:rsidRDefault="00B0644F" w:rsidP="00A23827">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55D9B8F" w14:textId="77777777" w:rsidR="00B0644F" w:rsidRPr="000C5C06" w:rsidRDefault="00B0644F" w:rsidP="00A23827">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32580AF" w14:textId="77777777" w:rsidR="00B0644F" w:rsidRPr="000C5C06" w:rsidRDefault="00B0644F" w:rsidP="00A23827">
            <w:pPr>
              <w:pStyle w:val="TableHeader"/>
              <w:rPr>
                <w:b w:val="0"/>
                <w:color w:val="auto"/>
                <w:szCs w:val="2"/>
              </w:rPr>
            </w:pPr>
          </w:p>
        </w:tc>
      </w:tr>
      <w:tr w:rsidR="00B0644F" w:rsidRPr="00D41215" w14:paraId="3C9781C2" w14:textId="77777777" w:rsidTr="00B0644F">
        <w:trPr>
          <w:trHeight w:hRule="exact" w:val="85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4E3D0DBB" w14:textId="77777777" w:rsidR="00B0644F" w:rsidRPr="00B0644F" w:rsidRDefault="00B0644F" w:rsidP="00B0644F">
            <w:pPr>
              <w:pStyle w:val="TableHeader"/>
              <w:ind w:left="491" w:hanging="491"/>
              <w:rPr>
                <w:bCs/>
                <w:color w:val="auto"/>
                <w:szCs w:val="2"/>
                <w:lang w:val="en-GB"/>
              </w:rPr>
            </w:pPr>
            <w:r>
              <w:rPr>
                <w:color w:val="auto"/>
                <w:szCs w:val="2"/>
              </w:rPr>
              <w:t>Q14:</w:t>
            </w:r>
            <w:r>
              <w:rPr>
                <w:bCs/>
                <w:color w:val="auto"/>
                <w:szCs w:val="2"/>
              </w:rPr>
              <w:t xml:space="preserve"> </w:t>
            </w:r>
            <w:r w:rsidRPr="00B0644F">
              <w:rPr>
                <w:bCs/>
                <w:color w:val="auto"/>
                <w:szCs w:val="2"/>
                <w:lang w:val="en-GB"/>
              </w:rPr>
              <w:t>Do you agree with the ‘reasonable coder’ approach that we have introduced in relation to the interpretation of coded terms in a contract? If not, what approach is appropriate?</w:t>
            </w:r>
          </w:p>
          <w:p w14:paraId="174491BB" w14:textId="77777777" w:rsidR="00B0644F" w:rsidRPr="000C5C06" w:rsidRDefault="00B0644F" w:rsidP="00B0644F">
            <w:pPr>
              <w:pStyle w:val="TableHeader"/>
              <w:ind w:left="491" w:hanging="491"/>
              <w:rPr>
                <w:b w:val="0"/>
                <w:color w:val="auto"/>
                <w:szCs w:val="2"/>
              </w:rPr>
            </w:pPr>
          </w:p>
        </w:tc>
      </w:tr>
      <w:tr w:rsidR="00B0644F" w:rsidRPr="00D41215" w14:paraId="4F163B1A"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B59CC9D" w14:textId="77777777" w:rsidR="00B0644F" w:rsidRPr="000C5C06" w:rsidRDefault="00B0644F" w:rsidP="00B0644F">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F0B7468" w14:textId="77777777" w:rsidR="00B0644F" w:rsidRPr="000C5C06" w:rsidRDefault="00B0644F" w:rsidP="00B0644F">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57D9DA9" w14:textId="77777777" w:rsidR="00B0644F" w:rsidRPr="000C5C06" w:rsidRDefault="00B0644F" w:rsidP="00B0644F">
            <w:pPr>
              <w:pStyle w:val="TableHeader"/>
              <w:rPr>
                <w:b w:val="0"/>
                <w:color w:val="auto"/>
                <w:szCs w:val="2"/>
              </w:rPr>
            </w:pPr>
          </w:p>
        </w:tc>
      </w:tr>
      <w:tr w:rsidR="00B0644F" w:rsidRPr="00D41215" w14:paraId="559F68BE"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2E64511" w14:textId="77777777" w:rsidR="00B0644F" w:rsidRPr="000C5C06" w:rsidRDefault="00B0644F" w:rsidP="00B0644F">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6F450E0" w14:textId="77777777" w:rsidR="00B0644F" w:rsidRPr="000C5C06" w:rsidRDefault="00B0644F" w:rsidP="00B0644F">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5CF87F4" w14:textId="77777777" w:rsidR="00B0644F" w:rsidRPr="000C5C06" w:rsidRDefault="00B0644F" w:rsidP="00B0644F">
            <w:pPr>
              <w:pStyle w:val="TableHeader"/>
              <w:rPr>
                <w:b w:val="0"/>
                <w:color w:val="auto"/>
                <w:szCs w:val="2"/>
              </w:rPr>
            </w:pPr>
          </w:p>
        </w:tc>
      </w:tr>
      <w:tr w:rsidR="00B0644F" w:rsidRPr="00D41215" w14:paraId="7DC65C87" w14:textId="77777777" w:rsidTr="00B0644F">
        <w:trPr>
          <w:trHeight w:hRule="exact" w:val="61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5F821757" w14:textId="77777777" w:rsidR="00B0644F" w:rsidRPr="00111C9C" w:rsidRDefault="00B0644F" w:rsidP="00B0644F">
            <w:pPr>
              <w:pStyle w:val="TableHeader"/>
              <w:widowControl w:val="0"/>
              <w:rPr>
                <w:rFonts w:ascii="Arial" w:hAnsi="Arial" w:cs="Arial"/>
                <w:bCs/>
                <w:color w:val="auto"/>
                <w:sz w:val="20"/>
                <w:szCs w:val="20"/>
                <w:lang w:val="en-GB"/>
              </w:rPr>
            </w:pPr>
            <w:r>
              <w:rPr>
                <w:color w:val="auto"/>
                <w:szCs w:val="2"/>
              </w:rPr>
              <w:t>Q15:</w:t>
            </w:r>
            <w:r>
              <w:rPr>
                <w:bCs/>
                <w:color w:val="auto"/>
                <w:szCs w:val="2"/>
              </w:rPr>
              <w:t xml:space="preserve"> </w:t>
            </w:r>
            <w:r w:rsidRPr="00111C9C">
              <w:rPr>
                <w:rFonts w:ascii="Arial" w:hAnsi="Arial" w:cs="Arial"/>
                <w:bCs/>
                <w:color w:val="auto"/>
                <w:sz w:val="20"/>
                <w:szCs w:val="20"/>
                <w:lang w:val="en-GB"/>
              </w:rPr>
              <w:t>Do you agree with the amendments we have made to Articles 49-52 of the Contract Law? If not, what amendments are appropriate?</w:t>
            </w:r>
          </w:p>
          <w:p w14:paraId="1CC6480A" w14:textId="77777777" w:rsidR="00B0644F" w:rsidRPr="000C5C06" w:rsidRDefault="00B0644F" w:rsidP="00B0644F">
            <w:pPr>
              <w:pStyle w:val="TableHeader"/>
              <w:ind w:left="491" w:hanging="491"/>
              <w:rPr>
                <w:b w:val="0"/>
                <w:color w:val="auto"/>
                <w:szCs w:val="2"/>
              </w:rPr>
            </w:pPr>
          </w:p>
        </w:tc>
      </w:tr>
      <w:tr w:rsidR="00B0644F" w:rsidRPr="00D41215" w14:paraId="1BA35A76"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DD8B063" w14:textId="77777777" w:rsidR="00B0644F" w:rsidRPr="000C5C06" w:rsidRDefault="00B0644F" w:rsidP="00B0644F">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CF39DDB" w14:textId="77777777" w:rsidR="00B0644F" w:rsidRPr="000C5C06" w:rsidRDefault="00B0644F" w:rsidP="00B0644F">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8FBB6DE" w14:textId="77777777" w:rsidR="00B0644F" w:rsidRPr="000C5C06" w:rsidRDefault="00B0644F" w:rsidP="00B0644F">
            <w:pPr>
              <w:pStyle w:val="TableHeader"/>
              <w:rPr>
                <w:b w:val="0"/>
                <w:color w:val="auto"/>
                <w:szCs w:val="2"/>
              </w:rPr>
            </w:pPr>
          </w:p>
        </w:tc>
      </w:tr>
      <w:tr w:rsidR="00B0644F" w:rsidRPr="00D41215" w14:paraId="3F5F7F59"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64D2255A" w14:textId="77777777" w:rsidR="00B0644F" w:rsidRPr="000C5C06" w:rsidRDefault="00B0644F" w:rsidP="00B0644F">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CEFC848" w14:textId="77777777" w:rsidR="00B0644F" w:rsidRPr="000C5C06" w:rsidRDefault="00B0644F" w:rsidP="00B0644F">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5E36326" w14:textId="77777777" w:rsidR="00B0644F" w:rsidRPr="000C5C06" w:rsidRDefault="00B0644F" w:rsidP="00B0644F">
            <w:pPr>
              <w:pStyle w:val="TableHeader"/>
              <w:rPr>
                <w:b w:val="0"/>
                <w:color w:val="auto"/>
                <w:szCs w:val="2"/>
              </w:rPr>
            </w:pPr>
          </w:p>
        </w:tc>
      </w:tr>
      <w:tr w:rsidR="00B0644F" w:rsidRPr="00D41215" w14:paraId="09FCE7E8" w14:textId="77777777" w:rsidTr="00B0644F">
        <w:trPr>
          <w:trHeight w:hRule="exact" w:val="583"/>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4DA54B4E" w14:textId="77777777" w:rsidR="00B0644F" w:rsidRPr="008712FC" w:rsidRDefault="00B0644F" w:rsidP="00B0644F">
            <w:pPr>
              <w:pStyle w:val="TableHeader"/>
              <w:widowControl w:val="0"/>
              <w:rPr>
                <w:rFonts w:ascii="Arial" w:hAnsi="Arial" w:cs="Arial"/>
                <w:bCs/>
                <w:color w:val="auto"/>
                <w:sz w:val="20"/>
                <w:szCs w:val="20"/>
                <w:lang w:val="en-GB"/>
              </w:rPr>
            </w:pPr>
            <w:r>
              <w:rPr>
                <w:color w:val="auto"/>
                <w:szCs w:val="2"/>
              </w:rPr>
              <w:t>Q16:</w:t>
            </w:r>
            <w:r>
              <w:rPr>
                <w:bCs/>
                <w:color w:val="auto"/>
                <w:szCs w:val="2"/>
              </w:rPr>
              <w:t xml:space="preserve"> </w:t>
            </w:r>
            <w:r w:rsidRPr="008712FC">
              <w:rPr>
                <w:rFonts w:ascii="Arial" w:hAnsi="Arial" w:cs="Arial"/>
                <w:bCs/>
                <w:color w:val="auto"/>
                <w:sz w:val="20"/>
                <w:szCs w:val="20"/>
                <w:lang w:val="en-GB"/>
              </w:rPr>
              <w:t>Do you agree with the definitions we have introduced in relation to the terms in Articles 49-52? If not, in what respects should they be changed?</w:t>
            </w:r>
          </w:p>
          <w:p w14:paraId="5946BE3C" w14:textId="77777777" w:rsidR="00B0644F" w:rsidRPr="000C5C06" w:rsidRDefault="00B0644F" w:rsidP="00B0644F">
            <w:pPr>
              <w:pStyle w:val="TableHeader"/>
              <w:widowControl w:val="0"/>
              <w:rPr>
                <w:b w:val="0"/>
                <w:color w:val="auto"/>
                <w:szCs w:val="2"/>
              </w:rPr>
            </w:pPr>
          </w:p>
        </w:tc>
      </w:tr>
      <w:tr w:rsidR="00B0644F" w:rsidRPr="00D41215" w14:paraId="5EE51766"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659562B" w14:textId="77777777" w:rsidR="00B0644F" w:rsidRPr="000C5C06" w:rsidRDefault="00B0644F" w:rsidP="00B0644F">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C4B93DF" w14:textId="77777777" w:rsidR="00B0644F" w:rsidRPr="000C5C06" w:rsidRDefault="00B0644F" w:rsidP="00B0644F">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A74D390" w14:textId="77777777" w:rsidR="00B0644F" w:rsidRPr="000C5C06" w:rsidRDefault="00B0644F" w:rsidP="00B0644F">
            <w:pPr>
              <w:pStyle w:val="TableHeader"/>
              <w:rPr>
                <w:b w:val="0"/>
                <w:color w:val="auto"/>
                <w:szCs w:val="2"/>
              </w:rPr>
            </w:pPr>
          </w:p>
        </w:tc>
      </w:tr>
      <w:tr w:rsidR="00B0644F" w:rsidRPr="00D41215" w14:paraId="6C1681C1"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5BF86F7" w14:textId="77777777" w:rsidR="00B0644F" w:rsidRPr="000C5C06" w:rsidRDefault="00B0644F" w:rsidP="00B0644F">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FA95C36" w14:textId="77777777" w:rsidR="00B0644F" w:rsidRPr="000C5C06" w:rsidRDefault="00B0644F" w:rsidP="00B0644F">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F438372" w14:textId="77777777" w:rsidR="00B0644F" w:rsidRPr="000C5C06" w:rsidRDefault="00B0644F" w:rsidP="00B0644F">
            <w:pPr>
              <w:pStyle w:val="TableHeader"/>
              <w:rPr>
                <w:b w:val="0"/>
                <w:color w:val="auto"/>
                <w:szCs w:val="2"/>
              </w:rPr>
            </w:pPr>
          </w:p>
        </w:tc>
      </w:tr>
      <w:tr w:rsidR="00B0644F" w:rsidRPr="00D41215" w14:paraId="79369671" w14:textId="77777777" w:rsidTr="00204E23">
        <w:trPr>
          <w:trHeight w:hRule="exact" w:val="583"/>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367CC50C" w14:textId="77777777" w:rsidR="00B0644F" w:rsidRPr="00D6779C" w:rsidRDefault="00B0644F" w:rsidP="00B0644F">
            <w:pPr>
              <w:pStyle w:val="TableHeader"/>
              <w:rPr>
                <w:rFonts w:ascii="Arial" w:hAnsi="Arial" w:cs="Arial"/>
                <w:bCs/>
                <w:color w:val="auto"/>
                <w:sz w:val="20"/>
                <w:szCs w:val="20"/>
                <w:lang w:val="en-GB"/>
              </w:rPr>
            </w:pPr>
            <w:r>
              <w:rPr>
                <w:color w:val="auto"/>
                <w:szCs w:val="2"/>
              </w:rPr>
              <w:t>Q17:</w:t>
            </w:r>
            <w:r>
              <w:rPr>
                <w:bCs/>
                <w:color w:val="auto"/>
                <w:szCs w:val="2"/>
              </w:rPr>
              <w:t xml:space="preserve"> </w:t>
            </w:r>
            <w:r w:rsidRPr="00D6779C">
              <w:rPr>
                <w:rFonts w:ascii="Arial" w:hAnsi="Arial" w:cs="Arial"/>
                <w:bCs/>
                <w:color w:val="auto"/>
                <w:sz w:val="20"/>
                <w:szCs w:val="20"/>
                <w:lang w:val="en-GB"/>
              </w:rPr>
              <w:t>Do you agree with our definitions of ‘Money’, ‘Currency’, ‘Credit balance’, ‘Monetary obligation’ and ‘Sum’? If not, what modifications are required?</w:t>
            </w:r>
          </w:p>
          <w:p w14:paraId="6BA0219E" w14:textId="77777777" w:rsidR="00B0644F" w:rsidRPr="000C5C06" w:rsidRDefault="00B0644F" w:rsidP="00B0644F">
            <w:pPr>
              <w:pStyle w:val="TableHeader"/>
              <w:widowControl w:val="0"/>
              <w:rPr>
                <w:b w:val="0"/>
                <w:color w:val="auto"/>
                <w:szCs w:val="2"/>
              </w:rPr>
            </w:pPr>
          </w:p>
        </w:tc>
      </w:tr>
      <w:tr w:rsidR="00B0644F" w:rsidRPr="00D41215" w14:paraId="22B64876"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E366A8E" w14:textId="77777777" w:rsidR="00B0644F" w:rsidRPr="000C5C06" w:rsidRDefault="00B0644F" w:rsidP="00B0644F">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8A2AD04" w14:textId="77777777" w:rsidR="00B0644F" w:rsidRPr="000C5C06" w:rsidRDefault="00B0644F" w:rsidP="00B0644F">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3D44DB8" w14:textId="77777777" w:rsidR="00B0644F" w:rsidRPr="000C5C06" w:rsidRDefault="00B0644F" w:rsidP="00B0644F">
            <w:pPr>
              <w:pStyle w:val="TableHeader"/>
              <w:rPr>
                <w:b w:val="0"/>
                <w:color w:val="auto"/>
                <w:szCs w:val="2"/>
              </w:rPr>
            </w:pPr>
          </w:p>
        </w:tc>
      </w:tr>
      <w:tr w:rsidR="00043711" w:rsidRPr="00D41215" w14:paraId="0D8951C8"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5371527" w14:textId="77777777" w:rsidR="00043711" w:rsidRPr="000C5C06" w:rsidRDefault="00043711" w:rsidP="00B0644F">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D333B7B" w14:textId="77777777" w:rsidR="00043711" w:rsidRPr="000C5C06" w:rsidRDefault="00043711" w:rsidP="00B0644F">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17DAE02" w14:textId="77777777" w:rsidR="00043711" w:rsidRPr="000C5C06" w:rsidRDefault="00043711" w:rsidP="00B0644F">
            <w:pPr>
              <w:pStyle w:val="TableHeader"/>
              <w:rPr>
                <w:b w:val="0"/>
                <w:color w:val="auto"/>
                <w:szCs w:val="2"/>
              </w:rPr>
            </w:pPr>
          </w:p>
        </w:tc>
      </w:tr>
      <w:tr w:rsidR="00B0644F" w:rsidRPr="00D41215" w14:paraId="367EA1A9"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606AEAF" w14:textId="77777777" w:rsidR="00B0644F" w:rsidRPr="000C5C06" w:rsidRDefault="00B0644F" w:rsidP="00B0644F">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96844EC" w14:textId="77777777" w:rsidR="00B0644F" w:rsidRPr="000C5C06" w:rsidRDefault="00B0644F" w:rsidP="00B0644F">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028C0F2" w14:textId="77777777" w:rsidR="00B0644F" w:rsidRPr="000C5C06" w:rsidRDefault="00B0644F" w:rsidP="00B0644F">
            <w:pPr>
              <w:pStyle w:val="TableHeader"/>
              <w:rPr>
                <w:b w:val="0"/>
                <w:color w:val="auto"/>
                <w:szCs w:val="2"/>
              </w:rPr>
            </w:pPr>
          </w:p>
        </w:tc>
      </w:tr>
      <w:tr w:rsidR="00B0644F" w:rsidRPr="00D41215" w14:paraId="088F787D" w14:textId="77777777" w:rsidTr="00204E23">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330CAE82" w14:textId="77777777" w:rsidR="00B0644F" w:rsidRPr="004E568E" w:rsidRDefault="00B0644F" w:rsidP="00204E23">
            <w:pPr>
              <w:pStyle w:val="TableHeader"/>
              <w:rPr>
                <w:bCs/>
                <w:color w:val="auto"/>
                <w:szCs w:val="2"/>
              </w:rPr>
            </w:pPr>
            <w:r>
              <w:rPr>
                <w:bCs/>
                <w:color w:val="auto"/>
                <w:szCs w:val="2"/>
              </w:rPr>
              <w:t>Law of Damages and Remedies</w:t>
            </w:r>
          </w:p>
        </w:tc>
      </w:tr>
      <w:tr w:rsidR="00B0644F" w:rsidRPr="00D41215" w14:paraId="75482211" w14:textId="77777777" w:rsidTr="009E27C4">
        <w:trPr>
          <w:trHeight w:hRule="exact" w:val="93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030DFCED" w14:textId="77777777" w:rsidR="009E27C4" w:rsidRPr="009E27C4" w:rsidRDefault="00B0644F" w:rsidP="009E27C4">
            <w:pPr>
              <w:pStyle w:val="TableHeader"/>
              <w:ind w:left="491" w:hanging="491"/>
              <w:rPr>
                <w:color w:val="auto"/>
                <w:szCs w:val="2"/>
                <w:lang w:val="en-GB"/>
              </w:rPr>
            </w:pPr>
            <w:r>
              <w:rPr>
                <w:color w:val="auto"/>
                <w:szCs w:val="2"/>
              </w:rPr>
              <w:t>Q18:</w:t>
            </w:r>
            <w:r w:rsidR="009E27C4">
              <w:rPr>
                <w:color w:val="auto"/>
                <w:szCs w:val="2"/>
              </w:rPr>
              <w:t xml:space="preserve"> </w:t>
            </w:r>
            <w:r w:rsidR="009E27C4" w:rsidRPr="009E27C4">
              <w:rPr>
                <w:bCs/>
                <w:color w:val="auto"/>
                <w:szCs w:val="2"/>
                <w:lang w:val="en-GB"/>
              </w:rPr>
              <w:t>Do you have any concerns in relation to our proposed amendments to the Law of Damages and Remedies? If so, how should the proposal be modified?</w:t>
            </w:r>
          </w:p>
          <w:p w14:paraId="4AACB556" w14:textId="77777777" w:rsidR="00B0644F" w:rsidRPr="00D6779C" w:rsidRDefault="00B0644F" w:rsidP="00204E23">
            <w:pPr>
              <w:pStyle w:val="TableHeader"/>
              <w:rPr>
                <w:rFonts w:ascii="Arial" w:hAnsi="Arial" w:cs="Arial"/>
                <w:bCs/>
                <w:color w:val="auto"/>
                <w:sz w:val="20"/>
                <w:szCs w:val="20"/>
                <w:lang w:val="en-GB"/>
              </w:rPr>
            </w:pPr>
          </w:p>
          <w:p w14:paraId="5EB588A6" w14:textId="77777777" w:rsidR="00B0644F" w:rsidRPr="000C5C06" w:rsidRDefault="00B0644F" w:rsidP="00204E23">
            <w:pPr>
              <w:pStyle w:val="TableHeader"/>
              <w:widowControl w:val="0"/>
              <w:rPr>
                <w:b w:val="0"/>
                <w:color w:val="auto"/>
                <w:szCs w:val="2"/>
              </w:rPr>
            </w:pPr>
          </w:p>
        </w:tc>
      </w:tr>
      <w:tr w:rsidR="00B0644F" w:rsidRPr="00D41215" w14:paraId="1CBD8460"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6B4FD73E" w14:textId="77777777" w:rsidR="00B0644F" w:rsidRPr="000C5C06" w:rsidRDefault="00B0644F" w:rsidP="00B0644F">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101431B" w14:textId="77777777" w:rsidR="00B0644F" w:rsidRPr="000C5C06" w:rsidRDefault="00B0644F" w:rsidP="00B0644F">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8785E11" w14:textId="77777777" w:rsidR="00B0644F" w:rsidRPr="000C5C06" w:rsidRDefault="00B0644F" w:rsidP="00B0644F">
            <w:pPr>
              <w:pStyle w:val="TableHeader"/>
              <w:rPr>
                <w:b w:val="0"/>
                <w:color w:val="auto"/>
                <w:szCs w:val="2"/>
              </w:rPr>
            </w:pPr>
          </w:p>
        </w:tc>
      </w:tr>
      <w:tr w:rsidR="00B0644F" w:rsidRPr="00D41215" w14:paraId="18D36A7A"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D8C1451" w14:textId="77777777" w:rsidR="00B0644F" w:rsidRPr="000C5C06" w:rsidRDefault="00B0644F" w:rsidP="00B0644F">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1F43F2A" w14:textId="77777777" w:rsidR="00B0644F" w:rsidRPr="000C5C06" w:rsidRDefault="00B0644F" w:rsidP="00B0644F">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22822FF" w14:textId="77777777" w:rsidR="00B0644F" w:rsidRPr="000C5C06" w:rsidRDefault="00B0644F" w:rsidP="00B0644F">
            <w:pPr>
              <w:pStyle w:val="TableHeader"/>
              <w:rPr>
                <w:b w:val="0"/>
                <w:color w:val="auto"/>
                <w:szCs w:val="2"/>
              </w:rPr>
            </w:pPr>
          </w:p>
        </w:tc>
      </w:tr>
      <w:tr w:rsidR="00043711" w:rsidRPr="00D41215" w14:paraId="4ACD5A3F"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88C29DC" w14:textId="77777777" w:rsidR="00043711" w:rsidRPr="000C5C06" w:rsidRDefault="00043711" w:rsidP="00B0644F">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42EB8A2" w14:textId="77777777" w:rsidR="00043711" w:rsidRPr="000C5C06" w:rsidRDefault="00043711" w:rsidP="00B0644F">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F6E0547" w14:textId="77777777" w:rsidR="00043711" w:rsidRPr="000C5C06" w:rsidRDefault="00043711" w:rsidP="00B0644F">
            <w:pPr>
              <w:pStyle w:val="TableHeader"/>
              <w:rPr>
                <w:b w:val="0"/>
                <w:color w:val="auto"/>
                <w:szCs w:val="2"/>
              </w:rPr>
            </w:pPr>
          </w:p>
        </w:tc>
      </w:tr>
      <w:tr w:rsidR="009E27C4" w:rsidRPr="00D41215" w14:paraId="3C7538AA" w14:textId="77777777" w:rsidTr="00204E23">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01A89BFF" w14:textId="77777777" w:rsidR="009E27C4" w:rsidRPr="004E568E" w:rsidRDefault="009E27C4" w:rsidP="00204E23">
            <w:pPr>
              <w:pStyle w:val="TableHeader"/>
              <w:rPr>
                <w:bCs/>
                <w:color w:val="auto"/>
                <w:szCs w:val="2"/>
              </w:rPr>
            </w:pPr>
            <w:r>
              <w:rPr>
                <w:bCs/>
                <w:color w:val="auto"/>
                <w:szCs w:val="2"/>
              </w:rPr>
              <w:lastRenderedPageBreak/>
              <w:t>Law of Obligations</w:t>
            </w:r>
          </w:p>
        </w:tc>
      </w:tr>
      <w:tr w:rsidR="009E27C4" w:rsidRPr="00D41215" w14:paraId="75EAEC29" w14:textId="77777777" w:rsidTr="009E27C4">
        <w:trPr>
          <w:trHeight w:hRule="exact" w:val="802"/>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780B9FFB" w14:textId="77777777" w:rsidR="009E27C4" w:rsidRPr="00A06726" w:rsidRDefault="009E27C4" w:rsidP="00A06726">
            <w:pPr>
              <w:pStyle w:val="TableHeader"/>
              <w:ind w:left="491" w:hanging="491"/>
              <w:rPr>
                <w:color w:val="auto"/>
                <w:szCs w:val="2"/>
              </w:rPr>
            </w:pPr>
            <w:r>
              <w:rPr>
                <w:color w:val="auto"/>
                <w:szCs w:val="2"/>
              </w:rPr>
              <w:t xml:space="preserve">Q19: </w:t>
            </w:r>
            <w:r w:rsidRPr="00A06726">
              <w:rPr>
                <w:color w:val="auto"/>
                <w:szCs w:val="2"/>
              </w:rPr>
              <w:t>Do you have any concerns in relation to our proposed amendments to the Law of Obligations? If so, how should the proposal be modified?</w:t>
            </w:r>
          </w:p>
          <w:p w14:paraId="71055DC3" w14:textId="77777777" w:rsidR="009E27C4" w:rsidRPr="000C5C06" w:rsidRDefault="009E27C4" w:rsidP="009E27C4">
            <w:pPr>
              <w:pStyle w:val="TableHeader"/>
              <w:ind w:left="491" w:hanging="491"/>
              <w:rPr>
                <w:b w:val="0"/>
                <w:color w:val="auto"/>
                <w:szCs w:val="2"/>
              </w:rPr>
            </w:pPr>
          </w:p>
        </w:tc>
      </w:tr>
      <w:tr w:rsidR="009E27C4" w:rsidRPr="00D41215" w14:paraId="24007907"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072D781" w14:textId="77777777" w:rsidR="009E27C4" w:rsidRPr="000C5C06" w:rsidRDefault="009E27C4" w:rsidP="00B0644F">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0C25E61" w14:textId="77777777" w:rsidR="009E27C4" w:rsidRPr="000C5C06" w:rsidRDefault="009E27C4" w:rsidP="00B0644F">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BABAC5F" w14:textId="77777777" w:rsidR="009E27C4" w:rsidRPr="000C5C06" w:rsidRDefault="009E27C4" w:rsidP="00B0644F">
            <w:pPr>
              <w:pStyle w:val="TableHeader"/>
              <w:rPr>
                <w:b w:val="0"/>
                <w:color w:val="auto"/>
                <w:szCs w:val="2"/>
              </w:rPr>
            </w:pPr>
          </w:p>
        </w:tc>
      </w:tr>
      <w:tr w:rsidR="009E27C4" w:rsidRPr="00D41215" w14:paraId="6791A574"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12FC414" w14:textId="77777777" w:rsidR="009E27C4" w:rsidRPr="000C5C06" w:rsidRDefault="009E27C4" w:rsidP="00B0644F">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082187E" w14:textId="77777777" w:rsidR="009E27C4" w:rsidRPr="000C5C06" w:rsidRDefault="009E27C4" w:rsidP="00B0644F">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9F282D2" w14:textId="77777777" w:rsidR="009E27C4" w:rsidRPr="000C5C06" w:rsidRDefault="009E27C4" w:rsidP="00B0644F">
            <w:pPr>
              <w:pStyle w:val="TableHeader"/>
              <w:rPr>
                <w:b w:val="0"/>
                <w:color w:val="auto"/>
                <w:szCs w:val="2"/>
              </w:rPr>
            </w:pPr>
          </w:p>
        </w:tc>
      </w:tr>
      <w:tr w:rsidR="00B0644F" w:rsidRPr="00D41215" w14:paraId="66299EB2" w14:textId="77777777" w:rsidTr="00B761B0">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59853406" w14:textId="3D98B777" w:rsidR="00B0644F" w:rsidRPr="004E568E" w:rsidRDefault="009E27C4" w:rsidP="00B0644F">
            <w:pPr>
              <w:pStyle w:val="TableHeader"/>
              <w:rPr>
                <w:bCs/>
                <w:color w:val="auto"/>
                <w:szCs w:val="2"/>
              </w:rPr>
            </w:pPr>
            <w:r>
              <w:rPr>
                <w:bCs/>
                <w:color w:val="auto"/>
                <w:szCs w:val="2"/>
              </w:rPr>
              <w:t>I</w:t>
            </w:r>
            <w:r w:rsidR="00043711">
              <w:rPr>
                <w:bCs/>
                <w:color w:val="auto"/>
                <w:szCs w:val="2"/>
              </w:rPr>
              <w:t>T</w:t>
            </w:r>
            <w:r>
              <w:rPr>
                <w:bCs/>
                <w:color w:val="auto"/>
                <w:szCs w:val="2"/>
              </w:rPr>
              <w:t>CUT Law</w:t>
            </w:r>
          </w:p>
        </w:tc>
      </w:tr>
      <w:tr w:rsidR="009E27C4" w:rsidRPr="00D41215" w14:paraId="5F16194D" w14:textId="77777777" w:rsidTr="006136F5">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65BA0EAB" w14:textId="77777777" w:rsidR="009E27C4" w:rsidRPr="00A06726" w:rsidRDefault="009E27C4" w:rsidP="00A06726">
            <w:pPr>
              <w:pStyle w:val="TableHeader"/>
              <w:ind w:left="491" w:hanging="491"/>
              <w:rPr>
                <w:color w:val="auto"/>
                <w:szCs w:val="2"/>
              </w:rPr>
            </w:pPr>
            <w:r>
              <w:rPr>
                <w:color w:val="auto"/>
                <w:szCs w:val="2"/>
              </w:rPr>
              <w:t xml:space="preserve">Q20: </w:t>
            </w:r>
            <w:r w:rsidRPr="00A06726">
              <w:rPr>
                <w:color w:val="auto"/>
                <w:szCs w:val="2"/>
              </w:rPr>
              <w:t>Do you have any concerns regarding our proposed amendments to the ITCUT Law? If so, what modifications are desirable?</w:t>
            </w:r>
          </w:p>
          <w:p w14:paraId="2DD1A790" w14:textId="77777777" w:rsidR="009E27C4" w:rsidRPr="00A06726" w:rsidRDefault="009E27C4" w:rsidP="00A06726">
            <w:pPr>
              <w:pStyle w:val="TableHeader"/>
              <w:ind w:left="491" w:hanging="491"/>
              <w:rPr>
                <w:color w:val="auto"/>
                <w:szCs w:val="2"/>
              </w:rPr>
            </w:pPr>
          </w:p>
        </w:tc>
      </w:tr>
      <w:tr w:rsidR="009E27C4" w:rsidRPr="00D41215" w14:paraId="13221726"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6DD57E94" w14:textId="77777777" w:rsidR="009E27C4" w:rsidRPr="004E568E" w:rsidRDefault="009E27C4" w:rsidP="009E27C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265EB47" w14:textId="77777777" w:rsidR="009E27C4" w:rsidRPr="004E568E" w:rsidRDefault="009E27C4" w:rsidP="009E27C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AFFD1D9" w14:textId="77777777" w:rsidR="009E27C4" w:rsidRPr="004E568E" w:rsidRDefault="009E27C4" w:rsidP="009E27C4">
            <w:pPr>
              <w:pStyle w:val="TableHeader"/>
              <w:rPr>
                <w:bCs/>
                <w:color w:val="auto"/>
                <w:szCs w:val="2"/>
              </w:rPr>
            </w:pPr>
          </w:p>
        </w:tc>
      </w:tr>
      <w:tr w:rsidR="009E27C4" w:rsidRPr="00D41215" w14:paraId="50D88C74"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DDED1D1" w14:textId="77777777" w:rsidR="009E27C4" w:rsidRPr="004E568E" w:rsidRDefault="009E27C4" w:rsidP="009E27C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823FD92" w14:textId="77777777" w:rsidR="009E27C4" w:rsidRPr="004E568E" w:rsidRDefault="009E27C4" w:rsidP="009E27C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7C377D1" w14:textId="77777777" w:rsidR="009E27C4" w:rsidRPr="004E568E" w:rsidRDefault="009E27C4" w:rsidP="009E27C4">
            <w:pPr>
              <w:pStyle w:val="TableHeader"/>
              <w:rPr>
                <w:bCs/>
                <w:color w:val="auto"/>
                <w:szCs w:val="2"/>
              </w:rPr>
            </w:pPr>
          </w:p>
        </w:tc>
      </w:tr>
      <w:tr w:rsidR="009E27C4" w:rsidRPr="00D41215" w14:paraId="4031FFC5" w14:textId="77777777" w:rsidTr="00043711">
        <w:trPr>
          <w:trHeight w:hRule="exact" w:val="735"/>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1E911DD4" w14:textId="77777777" w:rsidR="009E27C4" w:rsidRPr="00A06726" w:rsidRDefault="009E27C4" w:rsidP="00A06726">
            <w:pPr>
              <w:pStyle w:val="TableHeader"/>
              <w:ind w:left="491" w:hanging="491"/>
              <w:rPr>
                <w:color w:val="auto"/>
                <w:szCs w:val="2"/>
              </w:rPr>
            </w:pPr>
            <w:r>
              <w:rPr>
                <w:color w:val="auto"/>
                <w:szCs w:val="2"/>
              </w:rPr>
              <w:t xml:space="preserve">Q21: </w:t>
            </w:r>
            <w:r w:rsidRPr="00A06726">
              <w:rPr>
                <w:color w:val="auto"/>
                <w:szCs w:val="2"/>
              </w:rPr>
              <w:t>Are there any other types of Digital Assets that do not currently benefit from the protective provisions of Part 3 of the ITCUT Law, but should do so?</w:t>
            </w:r>
          </w:p>
        </w:tc>
      </w:tr>
      <w:tr w:rsidR="009E27C4" w:rsidRPr="00D41215" w14:paraId="4E0DDF14"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92DF36B" w14:textId="77777777" w:rsidR="009E27C4" w:rsidRPr="004E568E" w:rsidRDefault="009E27C4" w:rsidP="009E27C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2E03B51" w14:textId="77777777" w:rsidR="009E27C4" w:rsidRPr="004E568E" w:rsidRDefault="009E27C4" w:rsidP="009E27C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F507E65" w14:textId="77777777" w:rsidR="009E27C4" w:rsidRPr="004E568E" w:rsidRDefault="009E27C4" w:rsidP="009E27C4">
            <w:pPr>
              <w:pStyle w:val="TableHeader"/>
              <w:rPr>
                <w:bCs/>
                <w:color w:val="auto"/>
                <w:szCs w:val="2"/>
              </w:rPr>
            </w:pPr>
          </w:p>
        </w:tc>
      </w:tr>
      <w:tr w:rsidR="009E27C4" w:rsidRPr="00D41215" w14:paraId="15355F52"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0533DBCF" w14:textId="77777777" w:rsidR="009E27C4" w:rsidRPr="004E568E" w:rsidRDefault="009E27C4" w:rsidP="009E27C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1844A00" w14:textId="77777777" w:rsidR="009E27C4" w:rsidRPr="004E568E" w:rsidRDefault="009E27C4" w:rsidP="009E27C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B17A583" w14:textId="77777777" w:rsidR="009E27C4" w:rsidRPr="004E568E" w:rsidRDefault="009E27C4" w:rsidP="009E27C4">
            <w:pPr>
              <w:pStyle w:val="TableHeader"/>
              <w:rPr>
                <w:bCs/>
                <w:color w:val="auto"/>
                <w:szCs w:val="2"/>
              </w:rPr>
            </w:pPr>
          </w:p>
        </w:tc>
      </w:tr>
      <w:tr w:rsidR="009E27C4" w:rsidRPr="00D41215" w14:paraId="17C38261" w14:textId="77777777" w:rsidTr="00DE5B78">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14:paraId="3B968044" w14:textId="77777777" w:rsidR="009E27C4" w:rsidRPr="0000188A" w:rsidRDefault="009E27C4" w:rsidP="009E27C4">
            <w:pPr>
              <w:pStyle w:val="TableHeader"/>
              <w:rPr>
                <w:rFonts w:ascii="Arial" w:hAnsi="Arial" w:cs="Arial"/>
                <w:color w:val="auto"/>
                <w:sz w:val="20"/>
                <w:szCs w:val="20"/>
                <w:lang w:val="en-GB"/>
              </w:rPr>
            </w:pPr>
            <w:r>
              <w:rPr>
                <w:color w:val="auto"/>
                <w:szCs w:val="2"/>
                <w:lang w:val="en-GB"/>
              </w:rPr>
              <w:t>Trust Law and Foundations Law</w:t>
            </w:r>
          </w:p>
        </w:tc>
      </w:tr>
      <w:tr w:rsidR="009E27C4" w:rsidRPr="00D41215" w14:paraId="7C5EDCED" w14:textId="77777777" w:rsidTr="00A06726">
        <w:trPr>
          <w:trHeight w:hRule="exact" w:val="701"/>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426D7644" w14:textId="77777777" w:rsidR="009E27C4" w:rsidRPr="00A06726" w:rsidRDefault="009E27C4" w:rsidP="00A06726">
            <w:pPr>
              <w:pStyle w:val="TableHeader"/>
              <w:ind w:left="491" w:hanging="491"/>
              <w:rPr>
                <w:color w:val="auto"/>
                <w:szCs w:val="2"/>
              </w:rPr>
            </w:pPr>
            <w:r>
              <w:rPr>
                <w:color w:val="auto"/>
                <w:szCs w:val="2"/>
              </w:rPr>
              <w:t>Q22:</w:t>
            </w:r>
            <w:r w:rsidR="00A06726">
              <w:rPr>
                <w:color w:val="auto"/>
                <w:szCs w:val="2"/>
              </w:rPr>
              <w:t xml:space="preserve"> </w:t>
            </w:r>
            <w:r w:rsidR="00A06726" w:rsidRPr="00A06726">
              <w:rPr>
                <w:color w:val="auto"/>
                <w:szCs w:val="2"/>
              </w:rPr>
              <w:t>Do you agree with our amendment in relation to ‘identifying characteristic’ in Article 45(1)(b) of the Trust Law? If not, how should the issue be addressed?</w:t>
            </w:r>
          </w:p>
        </w:tc>
      </w:tr>
      <w:tr w:rsidR="009E27C4" w:rsidRPr="00D41215" w14:paraId="232418E1"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E4E6236" w14:textId="77777777" w:rsidR="009E27C4" w:rsidRPr="004E568E" w:rsidRDefault="009E27C4" w:rsidP="009E27C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01AA409" w14:textId="77777777" w:rsidR="009E27C4" w:rsidRPr="004E568E" w:rsidRDefault="009E27C4" w:rsidP="009E27C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913AEC2" w14:textId="77777777" w:rsidR="009E27C4" w:rsidRPr="004E568E" w:rsidRDefault="009E27C4" w:rsidP="009E27C4">
            <w:pPr>
              <w:pStyle w:val="TableHeader"/>
              <w:rPr>
                <w:bCs/>
                <w:color w:val="auto"/>
                <w:szCs w:val="2"/>
              </w:rPr>
            </w:pPr>
          </w:p>
        </w:tc>
      </w:tr>
      <w:tr w:rsidR="009E27C4" w:rsidRPr="00D41215" w14:paraId="161396B0"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ADB2DC3" w14:textId="77777777" w:rsidR="009E27C4" w:rsidRPr="004E568E" w:rsidRDefault="009E27C4" w:rsidP="009E27C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5775C79" w14:textId="77777777" w:rsidR="009E27C4" w:rsidRPr="004E568E" w:rsidRDefault="009E27C4" w:rsidP="009E27C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F233E23" w14:textId="77777777" w:rsidR="009E27C4" w:rsidRPr="004E568E" w:rsidRDefault="009E27C4" w:rsidP="009E27C4">
            <w:pPr>
              <w:pStyle w:val="TableHeader"/>
              <w:rPr>
                <w:bCs/>
                <w:color w:val="auto"/>
                <w:szCs w:val="2"/>
              </w:rPr>
            </w:pPr>
          </w:p>
        </w:tc>
      </w:tr>
      <w:tr w:rsidR="00A06726" w:rsidRPr="00544CD4" w14:paraId="7E5B71D8" w14:textId="77777777" w:rsidTr="00204E23">
        <w:trPr>
          <w:trHeight w:hRule="exact" w:val="701"/>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0888ACD7" w14:textId="77777777" w:rsidR="00A06726" w:rsidRPr="00544CD4" w:rsidRDefault="00A06726" w:rsidP="00A06726">
            <w:pPr>
              <w:pStyle w:val="TableHeader"/>
              <w:ind w:left="491" w:hanging="491"/>
              <w:rPr>
                <w:color w:val="auto"/>
                <w:szCs w:val="22"/>
              </w:rPr>
            </w:pPr>
            <w:r w:rsidRPr="00544CD4">
              <w:rPr>
                <w:color w:val="auto"/>
                <w:szCs w:val="22"/>
              </w:rPr>
              <w:lastRenderedPageBreak/>
              <w:t xml:space="preserve">Q23: </w:t>
            </w:r>
            <w:r w:rsidRPr="00544CD4">
              <w:rPr>
                <w:rFonts w:ascii="Arial" w:hAnsi="Arial" w:cs="Arial"/>
                <w:bCs/>
                <w:color w:val="auto"/>
                <w:szCs w:val="22"/>
                <w:lang w:val="en-GB"/>
              </w:rPr>
              <w:t>Do you have any concerns in relation to our proposed amendments to the Trust Law and the Foundations Law? If so, how should these be modified?</w:t>
            </w:r>
          </w:p>
        </w:tc>
      </w:tr>
      <w:tr w:rsidR="009E27C4" w:rsidRPr="00D41215" w14:paraId="3F1A7DC9" w14:textId="77777777" w:rsidTr="00544CD4">
        <w:trPr>
          <w:trHeight w:hRule="exact" w:val="497"/>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52B5F16" w14:textId="77777777" w:rsidR="009E27C4" w:rsidRPr="004E568E" w:rsidRDefault="009E27C4" w:rsidP="009E27C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BEB8CF5" w14:textId="77777777" w:rsidR="009E27C4" w:rsidRPr="004E568E" w:rsidRDefault="009E27C4" w:rsidP="009E27C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68B7529" w14:textId="77777777" w:rsidR="009E27C4" w:rsidRPr="004E568E" w:rsidRDefault="009E27C4" w:rsidP="009E27C4">
            <w:pPr>
              <w:pStyle w:val="TableHeader"/>
              <w:rPr>
                <w:bCs/>
                <w:color w:val="auto"/>
                <w:szCs w:val="2"/>
              </w:rPr>
            </w:pPr>
          </w:p>
        </w:tc>
      </w:tr>
      <w:tr w:rsidR="009E27C4" w:rsidRPr="00D41215" w14:paraId="17883B76" w14:textId="77777777" w:rsidTr="00544CD4">
        <w:trPr>
          <w:trHeight w:hRule="exact" w:val="405"/>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6586454" w14:textId="77777777" w:rsidR="009E27C4" w:rsidRPr="004E568E" w:rsidRDefault="009E27C4" w:rsidP="009E27C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80DE254" w14:textId="77777777" w:rsidR="009E27C4" w:rsidRPr="004E568E" w:rsidRDefault="009E27C4" w:rsidP="009E27C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7B07514" w14:textId="77777777" w:rsidR="009E27C4" w:rsidRPr="004E568E" w:rsidRDefault="009E27C4" w:rsidP="009E27C4">
            <w:pPr>
              <w:pStyle w:val="TableHeader"/>
              <w:rPr>
                <w:bCs/>
                <w:color w:val="auto"/>
                <w:szCs w:val="2"/>
              </w:rPr>
            </w:pPr>
          </w:p>
        </w:tc>
      </w:tr>
      <w:tr w:rsidR="00544CD4" w:rsidRPr="00D41215" w14:paraId="0D0F0DCC" w14:textId="77777777" w:rsidTr="00204E23">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14:paraId="605DE460" w14:textId="77777777" w:rsidR="00544CD4" w:rsidRPr="0000188A" w:rsidRDefault="00544CD4" w:rsidP="00204E23">
            <w:pPr>
              <w:pStyle w:val="TableHeader"/>
              <w:rPr>
                <w:rFonts w:ascii="Arial" w:hAnsi="Arial" w:cs="Arial"/>
                <w:color w:val="auto"/>
                <w:sz w:val="20"/>
                <w:szCs w:val="20"/>
                <w:lang w:val="en-GB"/>
              </w:rPr>
            </w:pPr>
            <w:r>
              <w:rPr>
                <w:color w:val="auto"/>
                <w:szCs w:val="2"/>
                <w:lang w:val="en-GB"/>
              </w:rPr>
              <w:t>Insolvency Law and Insolvency Regulations</w:t>
            </w:r>
          </w:p>
        </w:tc>
      </w:tr>
      <w:tr w:rsidR="00544CD4" w:rsidRPr="00544CD4" w14:paraId="74CEA5D2" w14:textId="77777777" w:rsidTr="00544CD4">
        <w:trPr>
          <w:trHeight w:hRule="exact" w:val="820"/>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1590F333" w14:textId="77777777" w:rsidR="00544CD4" w:rsidRPr="00544CD4" w:rsidRDefault="00544CD4" w:rsidP="00544CD4">
            <w:pPr>
              <w:pStyle w:val="TableHeader"/>
              <w:ind w:left="491" w:hanging="491"/>
              <w:rPr>
                <w:bCs/>
                <w:color w:val="auto"/>
                <w:szCs w:val="22"/>
              </w:rPr>
            </w:pPr>
            <w:r w:rsidRPr="00544CD4">
              <w:rPr>
                <w:color w:val="auto"/>
                <w:szCs w:val="22"/>
              </w:rPr>
              <w:t xml:space="preserve">Q24: </w:t>
            </w:r>
            <w:r w:rsidRPr="00544CD4">
              <w:rPr>
                <w:rFonts w:ascii="Arial" w:hAnsi="Arial" w:cs="Arial"/>
                <w:bCs/>
                <w:color w:val="auto"/>
                <w:szCs w:val="22"/>
                <w:lang w:val="en-GB"/>
              </w:rPr>
              <w:t>Do you agree that a contractual claim for a Digital Asset that is money should be converted into a US dollar debt on the date of liquidation under Reg 6.26 of the Insolvency Regulations?</w:t>
            </w:r>
          </w:p>
        </w:tc>
      </w:tr>
      <w:tr w:rsidR="00544CD4" w:rsidRPr="00D41215" w14:paraId="61107DFB"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6BC4F44" w14:textId="77777777" w:rsidR="00544CD4" w:rsidRPr="004E568E" w:rsidRDefault="00544CD4" w:rsidP="009E27C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139C5C8" w14:textId="77777777" w:rsidR="00544CD4" w:rsidRPr="004E568E" w:rsidRDefault="00544CD4" w:rsidP="009E27C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06580F1" w14:textId="77777777" w:rsidR="00544CD4" w:rsidRPr="004E568E" w:rsidRDefault="00544CD4" w:rsidP="009E27C4">
            <w:pPr>
              <w:pStyle w:val="TableHeader"/>
              <w:rPr>
                <w:bCs/>
                <w:color w:val="auto"/>
                <w:szCs w:val="2"/>
              </w:rPr>
            </w:pPr>
          </w:p>
        </w:tc>
      </w:tr>
      <w:tr w:rsidR="00544CD4" w:rsidRPr="00D41215" w14:paraId="44990BCF"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0BDFD9E" w14:textId="77777777" w:rsidR="00544CD4" w:rsidRPr="004E568E" w:rsidRDefault="00544CD4" w:rsidP="009E27C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3B784C5" w14:textId="77777777" w:rsidR="00544CD4" w:rsidRPr="004E568E" w:rsidRDefault="00544CD4" w:rsidP="009E27C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26D4265" w14:textId="77777777" w:rsidR="00544CD4" w:rsidRPr="004E568E" w:rsidRDefault="00544CD4" w:rsidP="009E27C4">
            <w:pPr>
              <w:pStyle w:val="TableHeader"/>
              <w:rPr>
                <w:bCs/>
                <w:color w:val="auto"/>
                <w:szCs w:val="2"/>
              </w:rPr>
            </w:pPr>
          </w:p>
        </w:tc>
      </w:tr>
      <w:tr w:rsidR="00544CD4" w:rsidRPr="00544CD4" w14:paraId="0D85FE9B" w14:textId="77777777" w:rsidTr="00544CD4">
        <w:trPr>
          <w:trHeight w:hRule="exact" w:val="592"/>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3E66EC5A" w14:textId="77777777" w:rsidR="00544CD4" w:rsidRPr="00544CD4" w:rsidRDefault="00544CD4" w:rsidP="00544CD4">
            <w:pPr>
              <w:pStyle w:val="TableHeader"/>
              <w:ind w:left="491" w:hanging="491"/>
              <w:rPr>
                <w:bCs/>
                <w:color w:val="auto"/>
                <w:szCs w:val="22"/>
              </w:rPr>
            </w:pPr>
            <w:r w:rsidRPr="00544CD4">
              <w:rPr>
                <w:color w:val="auto"/>
                <w:szCs w:val="22"/>
              </w:rPr>
              <w:t>Q25:</w:t>
            </w:r>
            <w:r w:rsidRPr="00544CD4">
              <w:rPr>
                <w:rFonts w:ascii="Arial" w:hAnsi="Arial" w:cs="Arial"/>
                <w:bCs/>
                <w:color w:val="auto"/>
                <w:szCs w:val="22"/>
                <w:lang w:val="en-GB"/>
              </w:rPr>
              <w:t xml:space="preserve"> Do you agree with our pro rata shortfall allocation rule in respect of unallocated commingled holdings?</w:t>
            </w:r>
            <w:r w:rsidRPr="00544CD4">
              <w:rPr>
                <w:color w:val="auto"/>
                <w:szCs w:val="22"/>
              </w:rPr>
              <w:t xml:space="preserve"> </w:t>
            </w:r>
          </w:p>
        </w:tc>
      </w:tr>
      <w:tr w:rsidR="00544CD4" w:rsidRPr="00D41215" w14:paraId="26BEC765"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688545D7" w14:textId="77777777" w:rsidR="00544CD4" w:rsidRPr="004E568E" w:rsidRDefault="00544CD4" w:rsidP="00544CD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BD53886" w14:textId="77777777" w:rsidR="00544CD4" w:rsidRPr="004E568E" w:rsidRDefault="00544CD4" w:rsidP="00544CD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DE64A58" w14:textId="77777777" w:rsidR="00544CD4" w:rsidRPr="004E568E" w:rsidRDefault="00544CD4" w:rsidP="00544CD4">
            <w:pPr>
              <w:pStyle w:val="TableHeader"/>
              <w:rPr>
                <w:bCs/>
                <w:color w:val="auto"/>
                <w:szCs w:val="2"/>
              </w:rPr>
            </w:pPr>
          </w:p>
        </w:tc>
      </w:tr>
      <w:tr w:rsidR="00544CD4" w:rsidRPr="00D41215" w14:paraId="471D1E3C"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FF434B8" w14:textId="77777777" w:rsidR="00544CD4" w:rsidRPr="004E568E" w:rsidRDefault="00544CD4" w:rsidP="00544CD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6977E8A" w14:textId="77777777" w:rsidR="00544CD4" w:rsidRPr="004E568E" w:rsidRDefault="00544CD4" w:rsidP="00544CD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CDE4C2D" w14:textId="77777777" w:rsidR="00544CD4" w:rsidRPr="004E568E" w:rsidRDefault="00544CD4" w:rsidP="00544CD4">
            <w:pPr>
              <w:pStyle w:val="TableHeader"/>
              <w:rPr>
                <w:bCs/>
                <w:color w:val="auto"/>
                <w:szCs w:val="2"/>
              </w:rPr>
            </w:pPr>
          </w:p>
        </w:tc>
      </w:tr>
      <w:tr w:rsidR="00544CD4" w:rsidRPr="00544CD4" w14:paraId="6482C498" w14:textId="77777777" w:rsidTr="00544CD4">
        <w:trPr>
          <w:trHeight w:hRule="exact" w:val="730"/>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431DAD01" w14:textId="77777777" w:rsidR="00544CD4" w:rsidRPr="00544CD4" w:rsidRDefault="00544CD4" w:rsidP="00544CD4">
            <w:pPr>
              <w:pStyle w:val="TableHeader"/>
              <w:ind w:left="491" w:hanging="491"/>
              <w:rPr>
                <w:color w:val="auto"/>
                <w:szCs w:val="22"/>
              </w:rPr>
            </w:pPr>
            <w:r w:rsidRPr="00544CD4">
              <w:rPr>
                <w:color w:val="auto"/>
                <w:szCs w:val="22"/>
              </w:rPr>
              <w:t>Q26: Do you have any concerns regarding our proposed amendments to the Insolvency Regulations and the Insolvency Law? If so, what modifications are required?</w:t>
            </w:r>
          </w:p>
        </w:tc>
      </w:tr>
      <w:tr w:rsidR="00544CD4" w:rsidRPr="00D41215" w14:paraId="564433C0"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07BCF521" w14:textId="77777777" w:rsidR="00544CD4" w:rsidRPr="004E568E" w:rsidRDefault="00544CD4" w:rsidP="00544CD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714BAC4" w14:textId="77777777" w:rsidR="00544CD4" w:rsidRPr="004E568E" w:rsidRDefault="00544CD4" w:rsidP="00544CD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14DF1DA" w14:textId="77777777" w:rsidR="00544CD4" w:rsidRPr="004E568E" w:rsidRDefault="00544CD4" w:rsidP="00544CD4">
            <w:pPr>
              <w:pStyle w:val="TableHeader"/>
              <w:rPr>
                <w:bCs/>
                <w:color w:val="auto"/>
                <w:szCs w:val="2"/>
              </w:rPr>
            </w:pPr>
          </w:p>
        </w:tc>
      </w:tr>
      <w:tr w:rsidR="00544CD4" w:rsidRPr="00D41215" w14:paraId="38CF8B4C"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1823AD3" w14:textId="77777777" w:rsidR="00544CD4" w:rsidRPr="004E568E" w:rsidRDefault="00544CD4" w:rsidP="00544CD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C175D9C" w14:textId="77777777" w:rsidR="00544CD4" w:rsidRPr="004E568E" w:rsidRDefault="00544CD4" w:rsidP="00544CD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76F02EA" w14:textId="77777777" w:rsidR="00544CD4" w:rsidRPr="004E568E" w:rsidRDefault="00544CD4" w:rsidP="00544CD4">
            <w:pPr>
              <w:pStyle w:val="TableHeader"/>
              <w:rPr>
                <w:bCs/>
                <w:color w:val="auto"/>
                <w:szCs w:val="2"/>
              </w:rPr>
            </w:pPr>
          </w:p>
        </w:tc>
      </w:tr>
      <w:tr w:rsidR="00A82D17" w:rsidRPr="00D41215" w14:paraId="14AD238A" w14:textId="77777777" w:rsidTr="00204E23">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14:paraId="0D1FB69C" w14:textId="77777777" w:rsidR="00A82D17" w:rsidRPr="0000188A" w:rsidRDefault="00A82D17" w:rsidP="00204E23">
            <w:pPr>
              <w:pStyle w:val="TableHeader"/>
              <w:rPr>
                <w:rFonts w:ascii="Arial" w:hAnsi="Arial" w:cs="Arial"/>
                <w:color w:val="auto"/>
                <w:sz w:val="20"/>
                <w:szCs w:val="20"/>
                <w:lang w:val="en-GB"/>
              </w:rPr>
            </w:pPr>
            <w:r>
              <w:rPr>
                <w:color w:val="auto"/>
                <w:szCs w:val="2"/>
                <w:lang w:val="en-GB"/>
              </w:rPr>
              <w:t>Miscellaneous and General Comments</w:t>
            </w:r>
          </w:p>
        </w:tc>
      </w:tr>
      <w:tr w:rsidR="00A82D17" w:rsidRPr="00D41215" w14:paraId="0C237CC5"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13926B2" w14:textId="77777777" w:rsidR="00A82D17" w:rsidRPr="004E568E" w:rsidRDefault="00A82D17" w:rsidP="00544CD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88E5208" w14:textId="77777777" w:rsidR="00A82D17" w:rsidRPr="004E568E" w:rsidRDefault="00A82D17" w:rsidP="00544CD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6EDCECE" w14:textId="77777777" w:rsidR="00A82D17" w:rsidRPr="004E568E" w:rsidRDefault="00A82D17" w:rsidP="00544CD4">
            <w:pPr>
              <w:pStyle w:val="TableHeader"/>
              <w:rPr>
                <w:bCs/>
                <w:color w:val="auto"/>
                <w:szCs w:val="2"/>
              </w:rPr>
            </w:pPr>
          </w:p>
        </w:tc>
      </w:tr>
      <w:tr w:rsidR="00A82D17" w:rsidRPr="00D41215" w14:paraId="0BBA53D3"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876536E" w14:textId="77777777" w:rsidR="00A82D17" w:rsidRPr="004E568E" w:rsidRDefault="00A82D17" w:rsidP="00544CD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E6B6FD5" w14:textId="77777777" w:rsidR="00A82D17" w:rsidRPr="004E568E" w:rsidRDefault="00A82D17" w:rsidP="00544CD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AAE4C84" w14:textId="77777777" w:rsidR="00A82D17" w:rsidRPr="004E568E" w:rsidRDefault="00A82D17" w:rsidP="00544CD4">
            <w:pPr>
              <w:pStyle w:val="TableHeader"/>
              <w:rPr>
                <w:bCs/>
                <w:color w:val="auto"/>
                <w:szCs w:val="2"/>
              </w:rPr>
            </w:pPr>
          </w:p>
        </w:tc>
      </w:tr>
      <w:tr w:rsidR="00FB42A7" w:rsidRPr="00D41215" w14:paraId="59073E9B"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219FD90" w14:textId="77777777" w:rsidR="00FB42A7" w:rsidRPr="004E568E" w:rsidRDefault="00FB42A7" w:rsidP="00544CD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A213AFB" w14:textId="77777777" w:rsidR="00FB42A7" w:rsidRPr="004E568E" w:rsidRDefault="00FB42A7" w:rsidP="00544CD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7E07577" w14:textId="77777777" w:rsidR="00FB42A7" w:rsidRPr="004E568E" w:rsidRDefault="00FB42A7" w:rsidP="00544CD4">
            <w:pPr>
              <w:pStyle w:val="TableHeader"/>
              <w:rPr>
                <w:bCs/>
                <w:color w:val="auto"/>
                <w:szCs w:val="2"/>
              </w:rPr>
            </w:pPr>
          </w:p>
        </w:tc>
      </w:tr>
      <w:tr w:rsidR="00FB42A7" w:rsidRPr="00D41215" w14:paraId="68E0A882" w14:textId="77777777" w:rsidTr="003A6C2F">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6CA220BE" w14:textId="77777777" w:rsidR="00FB42A7" w:rsidRPr="004E568E" w:rsidRDefault="00FB42A7" w:rsidP="00544CD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2CF158E" w14:textId="77777777" w:rsidR="00FB42A7" w:rsidRPr="004E568E" w:rsidRDefault="00FB42A7" w:rsidP="00544CD4">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D7ABE3A" w14:textId="77777777" w:rsidR="00FB42A7" w:rsidRPr="004E568E" w:rsidRDefault="00FB42A7" w:rsidP="00544CD4">
            <w:pPr>
              <w:pStyle w:val="TableHeader"/>
              <w:rPr>
                <w:bCs/>
                <w:color w:val="auto"/>
                <w:szCs w:val="2"/>
              </w:rPr>
            </w:pPr>
          </w:p>
        </w:tc>
      </w:tr>
    </w:tbl>
    <w:p w14:paraId="062E807A" w14:textId="77777777" w:rsidR="000C5C06" w:rsidRDefault="000C5C06" w:rsidP="00FB42A7">
      <w:pPr>
        <w:rPr>
          <w:color w:val="auto"/>
          <w:sz w:val="24"/>
        </w:rPr>
      </w:pPr>
    </w:p>
    <w:sectPr w:rsidR="000C5C06" w:rsidSect="00D92753">
      <w:headerReference w:type="default" r:id="rId9"/>
      <w:footerReference w:type="even" r:id="rId10"/>
      <w:footerReference w:type="default" r:id="rId11"/>
      <w:footerReference w:type="first" r:id="rId12"/>
      <w:pgSz w:w="16820" w:h="11900" w:orient="landscape"/>
      <w:pgMar w:top="794" w:right="890" w:bottom="1004" w:left="900" w:header="136" w:footer="7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15949" w14:textId="77777777" w:rsidR="00D1631C" w:rsidRDefault="00D1631C" w:rsidP="001072C8">
      <w:r>
        <w:separator/>
      </w:r>
    </w:p>
    <w:p w14:paraId="40AB35C3" w14:textId="77777777" w:rsidR="00D1631C" w:rsidRDefault="00D1631C" w:rsidP="001072C8"/>
    <w:p w14:paraId="033A576E" w14:textId="77777777" w:rsidR="00D1631C" w:rsidRDefault="00D1631C" w:rsidP="001072C8"/>
  </w:endnote>
  <w:endnote w:type="continuationSeparator" w:id="0">
    <w:p w14:paraId="4CFA6507" w14:textId="77777777" w:rsidR="00D1631C" w:rsidRDefault="00D1631C" w:rsidP="001072C8">
      <w:r>
        <w:continuationSeparator/>
      </w:r>
    </w:p>
    <w:p w14:paraId="3D028F24" w14:textId="77777777" w:rsidR="00D1631C" w:rsidRDefault="00D1631C" w:rsidP="001072C8"/>
    <w:p w14:paraId="263A2A80" w14:textId="77777777" w:rsidR="00D1631C" w:rsidRDefault="00D1631C"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34FD" w14:textId="77777777" w:rsidR="00F57773" w:rsidRDefault="00F57773" w:rsidP="00161E1D">
    <w:pPr>
      <w:pStyle w:val="Footer"/>
      <w:framePr w:wrap="around" w:vAnchor="text" w:hAnchor="page" w:x="15945" w:y="121"/>
      <w:rPr>
        <w:rStyle w:val="PageNumber"/>
      </w:rPr>
    </w:pPr>
    <w:r>
      <w:rPr>
        <w:rStyle w:val="PageNumber"/>
      </w:rPr>
      <w:fldChar w:fldCharType="begin"/>
    </w:r>
    <w:r>
      <w:rPr>
        <w:rStyle w:val="PageNumber"/>
      </w:rPr>
      <w:instrText xml:space="preserve">PAGE  </w:instrText>
    </w:r>
    <w:r>
      <w:rPr>
        <w:rStyle w:val="PageNumber"/>
      </w:rPr>
      <w:fldChar w:fldCharType="separate"/>
    </w:r>
    <w:r w:rsidR="00F271E9">
      <w:rPr>
        <w:rStyle w:val="PageNumber"/>
        <w:noProof/>
      </w:rPr>
      <w:t>2</w:t>
    </w:r>
    <w:r>
      <w:rPr>
        <w:rStyle w:val="PageNumber"/>
      </w:rPr>
      <w:fldChar w:fldCharType="end"/>
    </w:r>
  </w:p>
  <w:p w14:paraId="59E99E75" w14:textId="77777777" w:rsidR="00664669" w:rsidRPr="00AA7472" w:rsidRDefault="00664669" w:rsidP="00664669">
    <w:pPr>
      <w:ind w:right="-122"/>
      <w:jc w:val="both"/>
      <w:rPr>
        <w:color w:val="auto"/>
        <w:sz w:val="14"/>
        <w:szCs w:val="14"/>
      </w:rPr>
    </w:pPr>
    <w:r w:rsidRPr="00AA7472">
      <w:rPr>
        <w:color w:val="auto"/>
        <w:sz w:val="14"/>
        <w:szCs w:val="14"/>
      </w:rPr>
      <w:t>Any personal data provided by you will be used, recorded and processed by us in accordance with the relevant statutory basis including the Data Protection Law 2020, We do not disclose any information you provide to any third parties or other government authorities except where (</w:t>
    </w:r>
    <w:proofErr w:type="spellStart"/>
    <w:r w:rsidRPr="00AA7472">
      <w:rPr>
        <w:color w:val="auto"/>
        <w:sz w:val="14"/>
        <w:szCs w:val="14"/>
      </w:rPr>
      <w:t>i</w:t>
    </w:r>
    <w:proofErr w:type="spellEnd"/>
    <w:r w:rsidRPr="00AA7472">
      <w:rPr>
        <w:color w:val="auto"/>
        <w:sz w:val="14"/>
        <w:szCs w:val="14"/>
      </w:rPr>
      <w:t>)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(iii)you give us permission to do so, please see the Data Protection Law 2020 for a full account of your rights relating to data protection.</w:t>
    </w:r>
  </w:p>
  <w:p w14:paraId="7270D275" w14:textId="77777777" w:rsidR="00907366" w:rsidRPr="00161E1D" w:rsidRDefault="00907366" w:rsidP="00664669">
    <w:pPr>
      <w:ind w:right="-122"/>
      <w:jc w:val="both"/>
      <w:rPr>
        <w:b/>
        <w:color w:val="002060"/>
        <w:sz w:val="16"/>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948" w14:textId="77777777" w:rsidR="00907366" w:rsidRDefault="00907366" w:rsidP="00F5777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271E9">
      <w:rPr>
        <w:rStyle w:val="PageNumber"/>
        <w:noProof/>
      </w:rPr>
      <w:t>7</w:t>
    </w:r>
    <w:r>
      <w:rPr>
        <w:rStyle w:val="PageNumber"/>
      </w:rPr>
      <w:fldChar w:fldCharType="end"/>
    </w:r>
  </w:p>
  <w:p w14:paraId="2CAF10A4" w14:textId="77777777" w:rsidR="00907366" w:rsidRDefault="00907366" w:rsidP="00F57773">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10F0" w14:textId="77777777" w:rsidR="00161E1D" w:rsidRDefault="00161E1D" w:rsidP="00161E1D">
    <w:pPr>
      <w:ind w:right="-122"/>
      <w:jc w:val="both"/>
      <w:rPr>
        <w:b/>
        <w:color w:val="002060"/>
        <w:sz w:val="16"/>
        <w:szCs w:val="14"/>
      </w:rPr>
    </w:pPr>
  </w:p>
  <w:p w14:paraId="23349544" w14:textId="77777777" w:rsidR="00161E1D" w:rsidRDefault="00161E1D" w:rsidP="00161E1D">
    <w:pPr>
      <w:pStyle w:val="Footer"/>
      <w:framePr w:wrap="around" w:vAnchor="text" w:hAnchor="page" w:x="15997" w:y="17"/>
      <w:rPr>
        <w:rStyle w:val="PageNumber"/>
      </w:rPr>
    </w:pPr>
    <w:r>
      <w:rPr>
        <w:rStyle w:val="PageNumber"/>
      </w:rPr>
      <w:fldChar w:fldCharType="begin"/>
    </w:r>
    <w:r>
      <w:rPr>
        <w:rStyle w:val="PageNumber"/>
      </w:rPr>
      <w:instrText xml:space="preserve">PAGE  </w:instrText>
    </w:r>
    <w:r>
      <w:rPr>
        <w:rStyle w:val="PageNumber"/>
      </w:rPr>
      <w:fldChar w:fldCharType="separate"/>
    </w:r>
    <w:r w:rsidR="0022594C">
      <w:rPr>
        <w:rStyle w:val="PageNumber"/>
        <w:noProof/>
      </w:rPr>
      <w:t>1</w:t>
    </w:r>
    <w:r>
      <w:rPr>
        <w:rStyle w:val="PageNumber"/>
      </w:rPr>
      <w:fldChar w:fldCharType="end"/>
    </w:r>
  </w:p>
  <w:p w14:paraId="334F0F85" w14:textId="77777777" w:rsidR="00664669" w:rsidRPr="00AA7472" w:rsidRDefault="00664669" w:rsidP="00664669">
    <w:pPr>
      <w:ind w:right="-122"/>
      <w:jc w:val="both"/>
      <w:rPr>
        <w:color w:val="auto"/>
        <w:sz w:val="14"/>
        <w:szCs w:val="14"/>
      </w:rPr>
    </w:pPr>
    <w:r w:rsidRPr="00AA7472">
      <w:rPr>
        <w:color w:val="auto"/>
        <w:sz w:val="14"/>
        <w:szCs w:val="14"/>
      </w:rPr>
      <w:t>CONFIDENTIALITY NOTICE and DISCLAIMER – This document and any attachment are confidential and may be privileged or otherwise protected from disclosure and solely for the use of Dubai International Financial Centre Authority. No part of this document may be copied, reproduced, or transmitted in any form or by any means without written permission.</w:t>
    </w:r>
  </w:p>
  <w:p w14:paraId="7B133588" w14:textId="77777777" w:rsidR="00907366" w:rsidRPr="00161E1D" w:rsidRDefault="00907366" w:rsidP="00664669">
    <w:pPr>
      <w:ind w:right="-122"/>
      <w:jc w:val="both"/>
      <w:rPr>
        <w:b/>
        <w:color w:val="002060"/>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1151D" w14:textId="77777777" w:rsidR="00D1631C" w:rsidRDefault="00D1631C" w:rsidP="001072C8">
      <w:r>
        <w:separator/>
      </w:r>
    </w:p>
    <w:p w14:paraId="3533EBCD" w14:textId="77777777" w:rsidR="00D1631C" w:rsidRDefault="00D1631C" w:rsidP="001072C8"/>
    <w:p w14:paraId="23E9F163" w14:textId="77777777" w:rsidR="00D1631C" w:rsidRDefault="00D1631C" w:rsidP="001072C8"/>
  </w:footnote>
  <w:footnote w:type="continuationSeparator" w:id="0">
    <w:p w14:paraId="48A17E94" w14:textId="77777777" w:rsidR="00D1631C" w:rsidRDefault="00D1631C" w:rsidP="001072C8">
      <w:r>
        <w:continuationSeparator/>
      </w:r>
    </w:p>
    <w:p w14:paraId="7681C25D" w14:textId="77777777" w:rsidR="00D1631C" w:rsidRDefault="00D1631C" w:rsidP="001072C8"/>
    <w:p w14:paraId="6B0A5861" w14:textId="77777777" w:rsidR="00D1631C" w:rsidRDefault="00D1631C" w:rsidP="001072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4A37" w14:textId="77777777" w:rsidR="00907366" w:rsidRPr="00D85F40" w:rsidRDefault="000E627C" w:rsidP="001072C8">
    <w:pPr>
      <w:pStyle w:val="Header"/>
    </w:pPr>
    <w:r>
      <w:rPr>
        <w:noProof/>
      </w:rPr>
      <mc:AlternateContent>
        <mc:Choice Requires="wps">
          <w:drawing>
            <wp:anchor distT="0" distB="0" distL="0" distR="0" simplePos="0" relativeHeight="251660288" behindDoc="0" locked="0" layoutInCell="1" allowOverlap="1" wp14:anchorId="6E64040B" wp14:editId="0DFC0393">
              <wp:simplePos x="635" y="635"/>
              <wp:positionH relativeFrom="page">
                <wp:align>left</wp:align>
              </wp:positionH>
              <wp:positionV relativeFrom="page">
                <wp:align>top</wp:align>
              </wp:positionV>
              <wp:extent cx="443865" cy="443865"/>
              <wp:effectExtent l="0" t="0" r="5080" b="16510"/>
              <wp:wrapNone/>
              <wp:docPr id="1543508972" name="Text Box 3"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259B7D" w14:textId="77777777" w:rsidR="000E627C" w:rsidRPr="000E627C" w:rsidRDefault="000E627C" w:rsidP="000E627C">
                          <w:pPr>
                            <w:rPr>
                              <w:rFonts w:ascii="Calibri" w:eastAsia="Calibri" w:hAnsi="Calibri" w:cs="Calibri"/>
                              <w:noProof/>
                              <w:color w:val="000000"/>
                              <w:sz w:val="20"/>
                              <w:szCs w:val="20"/>
                            </w:rPr>
                          </w:pPr>
                          <w:r w:rsidRPr="000E627C">
                            <w:rPr>
                              <w:rFonts w:ascii="Calibri" w:eastAsia="Calibri" w:hAnsi="Calibri" w:cs="Calibri"/>
                              <w:noProof/>
                              <w:color w:val="000000"/>
                              <w:sz w:val="20"/>
                              <w:szCs w:val="20"/>
                            </w:rPr>
                            <w:t>PUBLIC</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alt="PUBLIC"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" filled="f" stroked="f">
              <v:textbox style="mso-fit-shape-to-text:t" inset="20pt,15pt,0,0">
                <w:txbxContent>
                  <w:p w:rsidR="000E627C" w:rsidRPr="000E627C" w:rsidRDefault="000E627C" w:rsidP="000E627C">
                    <w:pPr>
                      <w:rPr>
                        <w:rFonts w:ascii="Calibri" w:eastAsia="Calibri" w:hAnsi="Calibri" w:cs="Calibri"/>
                        <w:noProof/>
                        <w:color w:val="000000"/>
                        <w:sz w:val="20"/>
                        <w:szCs w:val="20"/>
                      </w:rPr>
                    </w:pPr>
                    <w:r w:rsidRPr="000E627C">
                      <w:rPr>
                        <w:rFonts w:ascii="Calibri" w:eastAsia="Calibri" w:hAnsi="Calibri" w:cs="Calibri"/>
                        <w:noProof/>
                        <w:color w:val="000000"/>
                        <w:sz w:val="20"/>
                        <w:szCs w:val="20"/>
                      </w:rPr>
                      <w:t>PUBLIC</w:t>
                    </w:r>
                  </w:p>
                </w:txbxContent>
              </v:textbox>
              <w10:wrap anchorx="page" anchory="page"/>
            </v:shape>
          </w:pict>
        </mc:Fallback>
      </mc:AlternateContent>
    </w:r>
    <w:r w:rsidR="00907366">
      <w:tab/>
    </w:r>
  </w:p>
  <w:p w14:paraId="6E7DC91D" w14:textId="77777777" w:rsidR="00907366" w:rsidRDefault="00907366" w:rsidP="001072C8"/>
  <w:p w14:paraId="6A995306" w14:textId="77777777" w:rsidR="00907366" w:rsidRDefault="00907366" w:rsidP="001072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894157">
    <w:abstractNumId w:val="11"/>
  </w:num>
  <w:num w:numId="2" w16cid:durableId="1705641072">
    <w:abstractNumId w:val="10"/>
  </w:num>
  <w:num w:numId="3" w16cid:durableId="222299919">
    <w:abstractNumId w:val="8"/>
  </w:num>
  <w:num w:numId="4" w16cid:durableId="481780181">
    <w:abstractNumId w:val="7"/>
  </w:num>
  <w:num w:numId="5" w16cid:durableId="979655118">
    <w:abstractNumId w:val="6"/>
  </w:num>
  <w:num w:numId="6" w16cid:durableId="1239948990">
    <w:abstractNumId w:val="5"/>
  </w:num>
  <w:num w:numId="7" w16cid:durableId="1621839121">
    <w:abstractNumId w:val="9"/>
  </w:num>
  <w:num w:numId="8" w16cid:durableId="327563994">
    <w:abstractNumId w:val="4"/>
  </w:num>
  <w:num w:numId="9" w16cid:durableId="2024742514">
    <w:abstractNumId w:val="3"/>
  </w:num>
  <w:num w:numId="10" w16cid:durableId="329135529">
    <w:abstractNumId w:val="2"/>
  </w:num>
  <w:num w:numId="11" w16cid:durableId="1249196381">
    <w:abstractNumId w:val="1"/>
  </w:num>
  <w:num w:numId="12" w16cid:durableId="323633219">
    <w:abstractNumId w:val="0"/>
  </w:num>
  <w:num w:numId="13" w16cid:durableId="21375270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34C"/>
    <w:rsid w:val="0001119D"/>
    <w:rsid w:val="00022AE4"/>
    <w:rsid w:val="00026619"/>
    <w:rsid w:val="00026B37"/>
    <w:rsid w:val="00027A52"/>
    <w:rsid w:val="00043711"/>
    <w:rsid w:val="000552A3"/>
    <w:rsid w:val="000612A7"/>
    <w:rsid w:val="000834ED"/>
    <w:rsid w:val="000949BC"/>
    <w:rsid w:val="000A13B6"/>
    <w:rsid w:val="000A2126"/>
    <w:rsid w:val="000B3510"/>
    <w:rsid w:val="000C5BF2"/>
    <w:rsid w:val="000C5C06"/>
    <w:rsid w:val="000E213A"/>
    <w:rsid w:val="000E627C"/>
    <w:rsid w:val="001072C8"/>
    <w:rsid w:val="0011121D"/>
    <w:rsid w:val="001149EA"/>
    <w:rsid w:val="00116580"/>
    <w:rsid w:val="00135E47"/>
    <w:rsid w:val="0013709A"/>
    <w:rsid w:val="00137C4C"/>
    <w:rsid w:val="00144349"/>
    <w:rsid w:val="00161E1D"/>
    <w:rsid w:val="001643A8"/>
    <w:rsid w:val="00172B8F"/>
    <w:rsid w:val="001806D0"/>
    <w:rsid w:val="001C00F6"/>
    <w:rsid w:val="001D5395"/>
    <w:rsid w:val="001E4A42"/>
    <w:rsid w:val="00205A9D"/>
    <w:rsid w:val="0022594C"/>
    <w:rsid w:val="00252D5C"/>
    <w:rsid w:val="00261AB6"/>
    <w:rsid w:val="002701F9"/>
    <w:rsid w:val="00295171"/>
    <w:rsid w:val="002A3642"/>
    <w:rsid w:val="002B14C2"/>
    <w:rsid w:val="002B6C58"/>
    <w:rsid w:val="002C1AC4"/>
    <w:rsid w:val="002D56EE"/>
    <w:rsid w:val="003078EE"/>
    <w:rsid w:val="00307AC3"/>
    <w:rsid w:val="00321DBD"/>
    <w:rsid w:val="00322F6F"/>
    <w:rsid w:val="003259F3"/>
    <w:rsid w:val="00331CE4"/>
    <w:rsid w:val="0037004A"/>
    <w:rsid w:val="003A6C2F"/>
    <w:rsid w:val="003B2274"/>
    <w:rsid w:val="003D5B9C"/>
    <w:rsid w:val="00401E5B"/>
    <w:rsid w:val="004126A4"/>
    <w:rsid w:val="00412E5E"/>
    <w:rsid w:val="00413A11"/>
    <w:rsid w:val="00423668"/>
    <w:rsid w:val="00430095"/>
    <w:rsid w:val="004355A0"/>
    <w:rsid w:val="00450EC9"/>
    <w:rsid w:val="00470053"/>
    <w:rsid w:val="0047606F"/>
    <w:rsid w:val="004761AB"/>
    <w:rsid w:val="004845C3"/>
    <w:rsid w:val="004B1D6C"/>
    <w:rsid w:val="004C4C90"/>
    <w:rsid w:val="004C587D"/>
    <w:rsid w:val="004D48C4"/>
    <w:rsid w:val="004E1091"/>
    <w:rsid w:val="004E568E"/>
    <w:rsid w:val="005171F7"/>
    <w:rsid w:val="00520627"/>
    <w:rsid w:val="00524D6D"/>
    <w:rsid w:val="00544CD4"/>
    <w:rsid w:val="00570C5B"/>
    <w:rsid w:val="0057778F"/>
    <w:rsid w:val="0059235C"/>
    <w:rsid w:val="00594989"/>
    <w:rsid w:val="005B02BC"/>
    <w:rsid w:val="005B2E7C"/>
    <w:rsid w:val="005B6F81"/>
    <w:rsid w:val="005D2468"/>
    <w:rsid w:val="005E0A8B"/>
    <w:rsid w:val="005E5F39"/>
    <w:rsid w:val="00614B32"/>
    <w:rsid w:val="006438E5"/>
    <w:rsid w:val="006442B4"/>
    <w:rsid w:val="00650BB4"/>
    <w:rsid w:val="00656AD2"/>
    <w:rsid w:val="00664669"/>
    <w:rsid w:val="00684E9E"/>
    <w:rsid w:val="006C3D5C"/>
    <w:rsid w:val="006C60ED"/>
    <w:rsid w:val="006D3D6E"/>
    <w:rsid w:val="006E1FB5"/>
    <w:rsid w:val="006F783B"/>
    <w:rsid w:val="00706E1E"/>
    <w:rsid w:val="00720EA9"/>
    <w:rsid w:val="00730F57"/>
    <w:rsid w:val="007314AE"/>
    <w:rsid w:val="00732F05"/>
    <w:rsid w:val="0073377E"/>
    <w:rsid w:val="00737D37"/>
    <w:rsid w:val="00746751"/>
    <w:rsid w:val="00766E6B"/>
    <w:rsid w:val="00781157"/>
    <w:rsid w:val="00792A61"/>
    <w:rsid w:val="00796050"/>
    <w:rsid w:val="007A34B0"/>
    <w:rsid w:val="007A3A17"/>
    <w:rsid w:val="007A58E9"/>
    <w:rsid w:val="007D6C7E"/>
    <w:rsid w:val="007E4299"/>
    <w:rsid w:val="0080338D"/>
    <w:rsid w:val="00807716"/>
    <w:rsid w:val="00810A5C"/>
    <w:rsid w:val="008455C0"/>
    <w:rsid w:val="0086075C"/>
    <w:rsid w:val="0086118A"/>
    <w:rsid w:val="008A2C3E"/>
    <w:rsid w:val="008C7E4A"/>
    <w:rsid w:val="009005D7"/>
    <w:rsid w:val="00907366"/>
    <w:rsid w:val="00907F93"/>
    <w:rsid w:val="00940999"/>
    <w:rsid w:val="00960F82"/>
    <w:rsid w:val="00965A0F"/>
    <w:rsid w:val="0098357A"/>
    <w:rsid w:val="009903FA"/>
    <w:rsid w:val="009931D7"/>
    <w:rsid w:val="009E27C4"/>
    <w:rsid w:val="009E3B6B"/>
    <w:rsid w:val="009F1748"/>
    <w:rsid w:val="00A04A98"/>
    <w:rsid w:val="00A06726"/>
    <w:rsid w:val="00A16032"/>
    <w:rsid w:val="00A23827"/>
    <w:rsid w:val="00A45FDE"/>
    <w:rsid w:val="00A532F6"/>
    <w:rsid w:val="00A57117"/>
    <w:rsid w:val="00A615D8"/>
    <w:rsid w:val="00A8154D"/>
    <w:rsid w:val="00A82D17"/>
    <w:rsid w:val="00A927B6"/>
    <w:rsid w:val="00A9313C"/>
    <w:rsid w:val="00AC4F4C"/>
    <w:rsid w:val="00AD036C"/>
    <w:rsid w:val="00AD165B"/>
    <w:rsid w:val="00AE10DB"/>
    <w:rsid w:val="00AE2EEF"/>
    <w:rsid w:val="00AE4771"/>
    <w:rsid w:val="00AE63D9"/>
    <w:rsid w:val="00AF05EC"/>
    <w:rsid w:val="00AF41B5"/>
    <w:rsid w:val="00AF57EC"/>
    <w:rsid w:val="00B0291B"/>
    <w:rsid w:val="00B04A59"/>
    <w:rsid w:val="00B04D68"/>
    <w:rsid w:val="00B0644F"/>
    <w:rsid w:val="00B46A90"/>
    <w:rsid w:val="00B61109"/>
    <w:rsid w:val="00B761B0"/>
    <w:rsid w:val="00B761FB"/>
    <w:rsid w:val="00B8683D"/>
    <w:rsid w:val="00BA0BD0"/>
    <w:rsid w:val="00BA7423"/>
    <w:rsid w:val="00BD290C"/>
    <w:rsid w:val="00BE4A0B"/>
    <w:rsid w:val="00BF4372"/>
    <w:rsid w:val="00C42737"/>
    <w:rsid w:val="00C544BF"/>
    <w:rsid w:val="00C70806"/>
    <w:rsid w:val="00C8015F"/>
    <w:rsid w:val="00C81BAB"/>
    <w:rsid w:val="00CA006C"/>
    <w:rsid w:val="00CB2072"/>
    <w:rsid w:val="00CC55B3"/>
    <w:rsid w:val="00CC734C"/>
    <w:rsid w:val="00CE071A"/>
    <w:rsid w:val="00CE365E"/>
    <w:rsid w:val="00CE60A5"/>
    <w:rsid w:val="00CF7970"/>
    <w:rsid w:val="00D056F8"/>
    <w:rsid w:val="00D06D73"/>
    <w:rsid w:val="00D140F1"/>
    <w:rsid w:val="00D1631C"/>
    <w:rsid w:val="00D40CC6"/>
    <w:rsid w:val="00D41215"/>
    <w:rsid w:val="00D42F0E"/>
    <w:rsid w:val="00D5043D"/>
    <w:rsid w:val="00D515BC"/>
    <w:rsid w:val="00D63449"/>
    <w:rsid w:val="00D67A53"/>
    <w:rsid w:val="00D72CFC"/>
    <w:rsid w:val="00D7438D"/>
    <w:rsid w:val="00D85F40"/>
    <w:rsid w:val="00D91B24"/>
    <w:rsid w:val="00D92753"/>
    <w:rsid w:val="00D930E3"/>
    <w:rsid w:val="00DA3A96"/>
    <w:rsid w:val="00DB252D"/>
    <w:rsid w:val="00DB2ED6"/>
    <w:rsid w:val="00DC6619"/>
    <w:rsid w:val="00DE03F1"/>
    <w:rsid w:val="00DE39DC"/>
    <w:rsid w:val="00DE3E02"/>
    <w:rsid w:val="00E055E8"/>
    <w:rsid w:val="00E123C4"/>
    <w:rsid w:val="00E137E6"/>
    <w:rsid w:val="00E32D5F"/>
    <w:rsid w:val="00E57572"/>
    <w:rsid w:val="00E73010"/>
    <w:rsid w:val="00E73A86"/>
    <w:rsid w:val="00E7433D"/>
    <w:rsid w:val="00E85E6B"/>
    <w:rsid w:val="00E90F2D"/>
    <w:rsid w:val="00EA3710"/>
    <w:rsid w:val="00EC0DEE"/>
    <w:rsid w:val="00EC5F78"/>
    <w:rsid w:val="00ED24A9"/>
    <w:rsid w:val="00EE5F18"/>
    <w:rsid w:val="00EF61D5"/>
    <w:rsid w:val="00EF785A"/>
    <w:rsid w:val="00F12AD2"/>
    <w:rsid w:val="00F271E9"/>
    <w:rsid w:val="00F27F30"/>
    <w:rsid w:val="00F3562C"/>
    <w:rsid w:val="00F36B40"/>
    <w:rsid w:val="00F57773"/>
    <w:rsid w:val="00F91BCE"/>
    <w:rsid w:val="00FA579B"/>
    <w:rsid w:val="00FB3D4C"/>
    <w:rsid w:val="00FB42A7"/>
    <w:rsid w:val="00FC1E4D"/>
    <w:rsid w:val="00FE031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7EFF1E"/>
  <w15:docId w15:val="{762C4315-E94F-4A35-970F-79F0D2AA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4C2"/>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Borders>
        <w:top w:val="single" w:sz="8" w:space="0" w:color="10123C" w:themeColor="accent1"/>
        <w:bottom w:val="single" w:sz="8" w:space="0" w:color="10123C" w:themeColor="accent1"/>
      </w:tblBorders>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character" w:customStyle="1" w:styleId="TableHeaderChar">
    <w:name w:val="Table Header Char"/>
    <w:basedOn w:val="DefaultParagraphFont"/>
    <w:link w:val="TableHeader"/>
    <w:locked/>
    <w:rsid w:val="00F27F30"/>
    <w:rPr>
      <w:b/>
      <w:color w:val="FFFFFF" w:themeColor="background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58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59D2A-64C1-4C87-8E70-4B4B666F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 Al Khamiri</dc:creator>
  <cp:lastModifiedBy>Katherine Nixon</cp:lastModifiedBy>
  <cp:revision>4</cp:revision>
  <cp:lastPrinted>2016-02-03T07:59:00Z</cp:lastPrinted>
  <dcterms:created xsi:type="dcterms:W3CDTF">2023-09-25T11:38:00Z</dcterms:created>
  <dcterms:modified xsi:type="dcterms:W3CDTF">2023-09-26T06:38:00Z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f817796c-27b9-494c-968b-e0e011ed11d2</vt:lpwstr>
  </property>
  <property fmtid="{D5CDD505-2E9C-101B-9397-08002B2CF9AE}" pid="3" name="Classification">
    <vt:lpwstr>PUBLIC</vt:lpwstr>
  </property>
  <property fmtid="{D5CDD505-2E9C-101B-9397-08002B2CF9AE}" pid="4" name="ClassificationContentMarkingHeaderShapeIds">
    <vt:lpwstr>18479fc4,f1c36e4,5c0013ec</vt:lpwstr>
  </property>
  <property fmtid="{D5CDD505-2E9C-101B-9397-08002B2CF9AE}" pid="5" name="ClassificationContentMarkingHeaderFontProps">
    <vt:lpwstr>#000000,10,Calibri</vt:lpwstr>
  </property>
  <property fmtid="{D5CDD505-2E9C-101B-9397-08002B2CF9AE}" pid="6" name="ClassificationContentMarkingHeaderText">
    <vt:lpwstr>PUBLIC</vt:lpwstr>
  </property>
  <property fmtid="{D5CDD505-2E9C-101B-9397-08002B2CF9AE}" pid="7" name="MSIP_Label_09dd96bb-ffa3-4be7-a1e9-96cadbf868fd_Enabled">
    <vt:lpwstr>true</vt:lpwstr>
  </property>
  <property fmtid="{D5CDD505-2E9C-101B-9397-08002B2CF9AE}" pid="8" name="MSIP_Label_09dd96bb-ffa3-4be7-a1e9-96cadbf868fd_SetDate">
    <vt:lpwstr>2023-09-26T07:02:46Z</vt:lpwstr>
  </property>
  <property fmtid="{D5CDD505-2E9C-101B-9397-08002B2CF9AE}" pid="9" name="MSIP_Label_09dd96bb-ffa3-4be7-a1e9-96cadbf868fd_Method">
    <vt:lpwstr>Standard</vt:lpwstr>
  </property>
  <property fmtid="{D5CDD505-2E9C-101B-9397-08002B2CF9AE}" pid="10" name="MSIP_Label_09dd96bb-ffa3-4be7-a1e9-96cadbf868fd_Name">
    <vt:lpwstr>Confidential</vt:lpwstr>
  </property>
  <property fmtid="{D5CDD505-2E9C-101B-9397-08002B2CF9AE}" pid="11" name="MSIP_Label_09dd96bb-ffa3-4be7-a1e9-96cadbf868fd_SiteId">
    <vt:lpwstr>abc805d7-9852-4fa2-af27-5f3c9114221c</vt:lpwstr>
  </property>
  <property fmtid="{D5CDD505-2E9C-101B-9397-08002B2CF9AE}" pid="12" name="MSIP_Label_09dd96bb-ffa3-4be7-a1e9-96cadbf868fd_ActionId">
    <vt:lpwstr>812fcbc7-8020-4319-bc1f-489978d03be4</vt:lpwstr>
  </property>
  <property fmtid="{D5CDD505-2E9C-101B-9397-08002B2CF9AE}" pid="13" name="MSIP_Label_09dd96bb-ffa3-4be7-a1e9-96cadbf868fd_ContentBits">
    <vt:lpwstr>0</vt:lpwstr>
  </property>
</Properties>
</file>