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603B" w14:textId="77777777" w:rsidR="00D41215" w:rsidRDefault="00781157" w:rsidP="00AA6A2B">
      <w:pPr>
        <w:pStyle w:val="Heading1"/>
        <w:pBdr>
          <w:top w:val="single" w:sz="4" w:space="1" w:color="auto"/>
          <w:left w:val="single" w:sz="4" w:space="3" w:color="auto"/>
          <w:bottom w:val="single" w:sz="4" w:space="0" w:color="auto"/>
          <w:right w:val="single" w:sz="4" w:space="9" w:color="auto"/>
        </w:pBdr>
        <w:ind w:left="91"/>
        <w:jc w:val="center"/>
      </w:pPr>
      <w:r>
        <w:rPr>
          <w:noProof/>
        </w:rPr>
        <mc:AlternateContent>
          <mc:Choice Requires="wps">
            <w:drawing>
              <wp:anchor distT="0" distB="0" distL="114300" distR="114300" simplePos="0" relativeHeight="251659264" behindDoc="0" locked="0" layoutInCell="1" allowOverlap="1" wp14:anchorId="4EE931DF" wp14:editId="2A081C13">
                <wp:simplePos x="0" y="0"/>
                <wp:positionH relativeFrom="column">
                  <wp:posOffset>7600950</wp:posOffset>
                </wp:positionH>
                <wp:positionV relativeFrom="paragraph">
                  <wp:posOffset>137161</wp:posOffset>
                </wp:positionV>
                <wp:extent cx="1887855" cy="7366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36600"/>
                        </a:xfrm>
                        <a:prstGeom prst="rect">
                          <a:avLst/>
                        </a:prstGeom>
                        <a:solidFill>
                          <a:srgbClr val="FFFFFF"/>
                        </a:solidFill>
                        <a:ln w="9525">
                          <a:noFill/>
                          <a:miter lim="800000"/>
                          <a:headEnd/>
                          <a:tailEnd/>
                        </a:ln>
                      </wps:spPr>
                      <wps:txbx>
                        <w:txbxContent>
                          <w:p w14:paraId="06C58154" w14:textId="75817B45" w:rsidR="00D41215" w:rsidRDefault="00F13FF0" w:rsidP="00D41215">
                            <w:pPr>
                              <w:jc w:val="center"/>
                            </w:pPr>
                            <w:r w:rsidRPr="00BC643F">
                              <w:rPr>
                                <w:noProof/>
                                <w:szCs w:val="48"/>
                              </w:rPr>
                              <w:drawing>
                                <wp:inline distT="0" distB="0" distL="0" distR="0" wp14:anchorId="03630EE4" wp14:editId="342D8B70">
                                  <wp:extent cx="1476672" cy="816610"/>
                                  <wp:effectExtent l="0" t="0" r="9525" b="2540"/>
                                  <wp:docPr id="1902906890" name="Picture 1902906890"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672" cy="8166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931DF" id="_x0000_t202" coordsize="21600,21600" o:spt="202" path="m,l,21600r21600,l21600,xe">
                <v:stroke joinstyle="miter"/>
                <v:path gradientshapeok="t" o:connecttype="rect"/>
              </v:shapetype>
              <v:shape id="Text Box 2" o:spid="_x0000_s1026" type="#_x0000_t202" style="position:absolute;left:0;text-align:left;margin-left:598.5pt;margin-top:10.8pt;width:148.6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" stroked="f">
                <v:textbox>
                  <w:txbxContent>
                    <w:p w14:paraId="06C58154" w14:textId="75817B45" w:rsidR="00D41215" w:rsidRDefault="00F13FF0" w:rsidP="00D41215">
                      <w:pPr>
                        <w:jc w:val="center"/>
                      </w:pPr>
                      <w:r w:rsidRPr="00BC643F">
                        <w:rPr>
                          <w:noProof/>
                          <w:szCs w:val="48"/>
                        </w:rPr>
                        <w:drawing>
                          <wp:inline distT="0" distB="0" distL="0" distR="0" wp14:anchorId="03630EE4" wp14:editId="342D8B70">
                            <wp:extent cx="1476672" cy="816610"/>
                            <wp:effectExtent l="0" t="0" r="9525" b="2540"/>
                            <wp:docPr id="1902906890" name="Picture 1902906890"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672" cy="816610"/>
                                    </a:xfrm>
                                    <a:prstGeom prst="rect">
                                      <a:avLst/>
                                    </a:prstGeom>
                                    <a:noFill/>
                                    <a:ln>
                                      <a:noFill/>
                                    </a:ln>
                                  </pic:spPr>
                                </pic:pic>
                              </a:graphicData>
                            </a:graphic>
                          </wp:inline>
                        </w:drawing>
                      </w:r>
                    </w:p>
                  </w:txbxContent>
                </v:textbox>
              </v:shape>
            </w:pict>
          </mc:Fallback>
        </mc:AlternateContent>
      </w:r>
    </w:p>
    <w:p w14:paraId="00B6710F" w14:textId="77777777" w:rsidR="0037004A" w:rsidRPr="00310308" w:rsidRDefault="00A1381F" w:rsidP="00AA6A2B">
      <w:pPr>
        <w:pStyle w:val="Heading1"/>
        <w:pBdr>
          <w:top w:val="single" w:sz="4" w:space="1" w:color="auto"/>
          <w:left w:val="single" w:sz="4" w:space="3" w:color="auto"/>
          <w:bottom w:val="single" w:sz="4" w:space="0" w:color="auto"/>
          <w:right w:val="single" w:sz="4" w:space="9" w:color="auto"/>
        </w:pBdr>
        <w:ind w:left="91"/>
        <w:jc w:val="center"/>
        <w:rPr>
          <w:color w:val="auto"/>
          <w:sz w:val="28"/>
          <w:szCs w:val="28"/>
        </w:rPr>
      </w:pPr>
      <w:r w:rsidRPr="00310308">
        <w:rPr>
          <w:color w:val="auto"/>
          <w:sz w:val="28"/>
          <w:szCs w:val="28"/>
        </w:rPr>
        <w:t>Ann</w:t>
      </w:r>
      <w:r w:rsidRPr="00941EA6">
        <w:rPr>
          <w:color w:val="auto"/>
          <w:sz w:val="28"/>
          <w:szCs w:val="28"/>
        </w:rPr>
        <w:t>ex</w:t>
      </w:r>
      <w:r w:rsidR="003C2D71" w:rsidRPr="00941EA6">
        <w:rPr>
          <w:color w:val="auto"/>
          <w:sz w:val="28"/>
          <w:szCs w:val="28"/>
        </w:rPr>
        <w:t xml:space="preserve"> B</w:t>
      </w:r>
    </w:p>
    <w:p w14:paraId="721BF3B5" w14:textId="77777777" w:rsidR="00D41215" w:rsidRPr="00310308" w:rsidRDefault="0037004A" w:rsidP="00AA6A2B">
      <w:pPr>
        <w:pStyle w:val="Heading1"/>
        <w:pBdr>
          <w:top w:val="single" w:sz="4" w:space="1" w:color="auto"/>
          <w:left w:val="single" w:sz="4" w:space="3" w:color="auto"/>
          <w:bottom w:val="single" w:sz="4" w:space="0" w:color="auto"/>
          <w:right w:val="single" w:sz="4" w:space="9" w:color="auto"/>
        </w:pBdr>
        <w:ind w:left="91"/>
        <w:rPr>
          <w:color w:val="auto"/>
          <w:sz w:val="28"/>
          <w:szCs w:val="28"/>
        </w:rPr>
      </w:pPr>
      <w:r w:rsidRPr="00310308">
        <w:rPr>
          <w:color w:val="auto"/>
          <w:sz w:val="28"/>
          <w:szCs w:val="28"/>
        </w:rPr>
        <w:t xml:space="preserve">  </w:t>
      </w:r>
    </w:p>
    <w:p w14:paraId="35616DDA" w14:textId="249220A0" w:rsidR="00D41215" w:rsidRPr="002E25B1" w:rsidRDefault="00D41215" w:rsidP="00AA6A2B">
      <w:pPr>
        <w:pStyle w:val="Heading1"/>
        <w:pBdr>
          <w:top w:val="single" w:sz="4" w:space="1" w:color="auto"/>
          <w:left w:val="single" w:sz="4" w:space="3" w:color="auto"/>
          <w:bottom w:val="single" w:sz="4" w:space="0" w:color="auto"/>
          <w:right w:val="single" w:sz="4" w:space="9" w:color="auto"/>
        </w:pBdr>
        <w:ind w:left="91"/>
        <w:rPr>
          <w:color w:val="auto"/>
          <w:sz w:val="24"/>
          <w:szCs w:val="24"/>
        </w:rPr>
      </w:pPr>
      <w:r w:rsidRPr="002E25B1">
        <w:rPr>
          <w:color w:val="auto"/>
          <w:sz w:val="24"/>
          <w:szCs w:val="24"/>
        </w:rPr>
        <w:t>Format for providing public comments</w:t>
      </w:r>
      <w:r w:rsidR="00C70806" w:rsidRPr="002E25B1">
        <w:rPr>
          <w:color w:val="auto"/>
          <w:sz w:val="24"/>
          <w:szCs w:val="24"/>
        </w:rPr>
        <w:t xml:space="preserve"> to DIFCA</w:t>
      </w:r>
      <w:r w:rsidR="00703B8F" w:rsidRPr="002E25B1">
        <w:rPr>
          <w:color w:val="auto"/>
          <w:sz w:val="24"/>
          <w:szCs w:val="24"/>
        </w:rPr>
        <w:t xml:space="preserve"> on Consultation P</w:t>
      </w:r>
      <w:r w:rsidRPr="002E25B1">
        <w:rPr>
          <w:color w:val="auto"/>
          <w:sz w:val="24"/>
          <w:szCs w:val="24"/>
        </w:rPr>
        <w:t>aper</w:t>
      </w:r>
      <w:r w:rsidR="00C70806" w:rsidRPr="002E25B1">
        <w:rPr>
          <w:color w:val="auto"/>
          <w:sz w:val="24"/>
          <w:szCs w:val="24"/>
        </w:rPr>
        <w:t xml:space="preserve"> No</w:t>
      </w:r>
      <w:r w:rsidR="006C1471" w:rsidRPr="002E25B1">
        <w:rPr>
          <w:color w:val="auto"/>
          <w:sz w:val="24"/>
          <w:szCs w:val="24"/>
        </w:rPr>
        <w:t xml:space="preserve">. </w:t>
      </w:r>
      <w:r w:rsidR="00A36004" w:rsidRPr="002E25B1">
        <w:rPr>
          <w:color w:val="auto"/>
          <w:sz w:val="24"/>
          <w:szCs w:val="24"/>
        </w:rPr>
        <w:t>2</w:t>
      </w:r>
      <w:r w:rsidR="007B3715" w:rsidRPr="002E25B1">
        <w:rPr>
          <w:color w:val="auto"/>
          <w:sz w:val="24"/>
          <w:szCs w:val="24"/>
        </w:rPr>
        <w:t xml:space="preserve"> of </w:t>
      </w:r>
      <w:r w:rsidR="00B462E3" w:rsidRPr="002E25B1">
        <w:rPr>
          <w:color w:val="auto"/>
          <w:sz w:val="24"/>
          <w:szCs w:val="24"/>
        </w:rPr>
        <w:t>202</w:t>
      </w:r>
      <w:r w:rsidR="00C658BB" w:rsidRPr="002E25B1">
        <w:rPr>
          <w:color w:val="auto"/>
          <w:sz w:val="24"/>
          <w:szCs w:val="24"/>
        </w:rPr>
        <w:t>5</w:t>
      </w:r>
    </w:p>
    <w:p w14:paraId="75C01664" w14:textId="23DF1BC6" w:rsidR="00365A9B" w:rsidRPr="002E25B1" w:rsidRDefault="002E25B1" w:rsidP="00AA6A2B">
      <w:pPr>
        <w:pStyle w:val="Heading1"/>
        <w:pBdr>
          <w:top w:val="single" w:sz="4" w:space="1" w:color="auto"/>
          <w:left w:val="single" w:sz="4" w:space="3" w:color="auto"/>
          <w:bottom w:val="single" w:sz="4" w:space="0" w:color="auto"/>
          <w:right w:val="single" w:sz="4" w:space="9" w:color="auto"/>
        </w:pBdr>
        <w:ind w:left="91"/>
        <w:rPr>
          <w:color w:val="auto"/>
          <w:sz w:val="26"/>
          <w:szCs w:val="26"/>
        </w:rPr>
      </w:pPr>
      <w:r w:rsidRPr="002E25B1">
        <w:rPr>
          <w:color w:val="auto"/>
          <w:sz w:val="24"/>
          <w:szCs w:val="24"/>
        </w:rPr>
        <w:t>Proposed Enactment of DIFC Variable Capital Company Regulations</w:t>
      </w:r>
      <w:r w:rsidR="0036053A" w:rsidRPr="002E25B1">
        <w:rPr>
          <w:color w:val="auto"/>
          <w:sz w:val="24"/>
          <w:szCs w:val="24"/>
        </w:rPr>
        <w:t xml:space="preserve"> (the “Proposed Regulations</w:t>
      </w:r>
      <w:r w:rsidR="0036053A" w:rsidRPr="002E25B1">
        <w:rPr>
          <w:color w:val="auto"/>
          <w:sz w:val="26"/>
          <w:szCs w:val="26"/>
        </w:rPr>
        <w:t>”)</w:t>
      </w:r>
    </w:p>
    <w:tbl>
      <w:tblPr>
        <w:tblStyle w:val="TableGrid"/>
        <w:tblW w:w="15233" w:type="dxa"/>
        <w:tblInd w:w="-5"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233"/>
      </w:tblGrid>
      <w:tr w:rsidR="00720EA9" w14:paraId="6852B0B5" w14:textId="77777777" w:rsidTr="00AA6A2B">
        <w:trPr>
          <w:trHeight w:hRule="exact" w:val="2911"/>
        </w:trPr>
        <w:tc>
          <w:tcPr>
            <w:tcW w:w="15233" w:type="dxa"/>
            <w:shd w:val="clear" w:color="auto" w:fill="FFFFFF" w:themeFill="background1"/>
            <w:vAlign w:val="center"/>
          </w:tcPr>
          <w:p w14:paraId="6527DE21"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14:paraId="45819618" w14:textId="77777777" w:rsidR="002B14C2" w:rsidRPr="00DC6619" w:rsidRDefault="002B14C2" w:rsidP="00772063">
            <w:pPr>
              <w:pStyle w:val="TableHeader"/>
              <w:jc w:val="both"/>
              <w:rPr>
                <w:b w:val="0"/>
                <w:color w:val="auto"/>
                <w:sz w:val="20"/>
                <w:szCs w:val="20"/>
              </w:rPr>
            </w:pPr>
          </w:p>
          <w:p w14:paraId="1767E519" w14:textId="5C56EFE0" w:rsidR="002B14C2" w:rsidRPr="00DC6619" w:rsidRDefault="002B14C2" w:rsidP="00772063">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The second column, ‘comments on proposed policy’ relates to the policy explained in the C</w:t>
            </w:r>
            <w:r w:rsidR="00C55D03">
              <w:rPr>
                <w:b w:val="0"/>
                <w:color w:val="auto"/>
                <w:sz w:val="20"/>
                <w:szCs w:val="20"/>
              </w:rPr>
              <w:t xml:space="preserve">onsultation </w:t>
            </w:r>
            <w:r w:rsidRPr="00DC6619">
              <w:rPr>
                <w:b w:val="0"/>
                <w:color w:val="auto"/>
                <w:sz w:val="20"/>
                <w:szCs w:val="20"/>
              </w:rPr>
              <w:t>P</w:t>
            </w:r>
            <w:r w:rsidR="00C55D03">
              <w:rPr>
                <w:b w:val="0"/>
                <w:color w:val="auto"/>
                <w:sz w:val="20"/>
                <w:szCs w:val="20"/>
              </w:rPr>
              <w:t>aper</w:t>
            </w:r>
            <w:r w:rsidRPr="00DC6619">
              <w:rPr>
                <w:b w:val="0"/>
                <w:color w:val="auto"/>
                <w:sz w:val="20"/>
                <w:szCs w:val="20"/>
              </w:rPr>
              <w:t xml:space="preserve"> paragraphs specified. The third column, ‘comments on </w:t>
            </w:r>
            <w:r w:rsidR="00772063">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14:paraId="07CCA369" w14:textId="77777777" w:rsidR="002B14C2" w:rsidRPr="00DC6619" w:rsidRDefault="002B14C2" w:rsidP="00772063">
            <w:pPr>
              <w:pStyle w:val="TableHeader"/>
              <w:jc w:val="both"/>
              <w:rPr>
                <w:b w:val="0"/>
                <w:color w:val="auto"/>
                <w:sz w:val="20"/>
                <w:szCs w:val="20"/>
              </w:rPr>
            </w:pPr>
          </w:p>
          <w:p w14:paraId="50A5B6E1"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 xml:space="preserve">It is possible that you may not have any comments,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proposed position, or you have no concerns </w:t>
            </w:r>
            <w:proofErr w:type="gramStart"/>
            <w:r w:rsidRPr="00DC6619">
              <w:rPr>
                <w:b w:val="0"/>
                <w:color w:val="auto"/>
                <w:sz w:val="20"/>
                <w:szCs w:val="20"/>
              </w:rPr>
              <w:t>relating</w:t>
            </w:r>
            <w:proofErr w:type="gramEnd"/>
            <w:r w:rsidRPr="00DC6619">
              <w:rPr>
                <w:b w:val="0"/>
                <w:color w:val="auto"/>
                <w:sz w:val="20"/>
                <w:szCs w:val="20"/>
              </w:rPr>
              <w:t xml:space="preserve"> it. </w:t>
            </w:r>
          </w:p>
          <w:p w14:paraId="0065B760" w14:textId="77777777" w:rsidR="002B14C2" w:rsidRPr="00DC6619" w:rsidRDefault="002B14C2" w:rsidP="00772063">
            <w:pPr>
              <w:pStyle w:val="TableHeader"/>
              <w:jc w:val="both"/>
              <w:rPr>
                <w:b w:val="0"/>
                <w:color w:val="auto"/>
                <w:sz w:val="20"/>
                <w:szCs w:val="20"/>
              </w:rPr>
            </w:pPr>
          </w:p>
          <w:p w14:paraId="593884FD" w14:textId="77777777" w:rsidR="00D41215" w:rsidRPr="00AD036C" w:rsidRDefault="002B14C2" w:rsidP="00772063">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14:paraId="2CFC9813" w14:textId="77777777" w:rsidR="00781157" w:rsidRDefault="00781157">
      <w:pPr>
        <w:rPr>
          <w:color w:val="auto"/>
          <w:sz w:val="24"/>
        </w:rPr>
      </w:pPr>
    </w:p>
    <w:tbl>
      <w:tblPr>
        <w:tblStyle w:val="TableGrid"/>
        <w:tblW w:w="1523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786"/>
        <w:gridCol w:w="9450"/>
      </w:tblGrid>
      <w:tr w:rsidR="00781157" w:rsidRPr="00D41215" w14:paraId="38760779" w14:textId="77777777" w:rsidTr="000F7BC0">
        <w:trPr>
          <w:trHeight w:val="227"/>
          <w:tblHeader/>
        </w:trPr>
        <w:tc>
          <w:tcPr>
            <w:tcW w:w="5786" w:type="dxa"/>
            <w:vAlign w:val="center"/>
          </w:tcPr>
          <w:p w14:paraId="7162CA4B" w14:textId="77777777" w:rsidR="00781157" w:rsidRPr="00D41215" w:rsidRDefault="00781157" w:rsidP="00F64A58">
            <w:pPr>
              <w:ind w:left="176"/>
              <w:rPr>
                <w:b/>
                <w:sz w:val="22"/>
                <w:szCs w:val="16"/>
              </w:rPr>
            </w:pPr>
            <w:r w:rsidRPr="00310308">
              <w:rPr>
                <w:b/>
                <w:color w:val="auto"/>
                <w:sz w:val="22"/>
                <w:szCs w:val="16"/>
              </w:rPr>
              <w:t>Name of individual / entity providing comments:</w:t>
            </w:r>
          </w:p>
        </w:tc>
        <w:tc>
          <w:tcPr>
            <w:tcW w:w="9450" w:type="dxa"/>
            <w:vAlign w:val="center"/>
          </w:tcPr>
          <w:p w14:paraId="75F7A4B1" w14:textId="77777777" w:rsidR="00781157" w:rsidRPr="00D41215" w:rsidRDefault="00781157" w:rsidP="00F64A58">
            <w:pPr>
              <w:ind w:firstLine="176"/>
              <w:rPr>
                <w:color w:val="auto"/>
                <w:sz w:val="22"/>
              </w:rPr>
            </w:pPr>
          </w:p>
        </w:tc>
      </w:tr>
    </w:tbl>
    <w:p w14:paraId="23097976" w14:textId="77777777" w:rsidR="00781157" w:rsidRDefault="00781157">
      <w:pPr>
        <w:rPr>
          <w:color w:val="auto"/>
          <w:sz w:val="24"/>
        </w:rPr>
      </w:pPr>
    </w:p>
    <w:tbl>
      <w:tblPr>
        <w:tblStyle w:val="TableGrid"/>
        <w:tblW w:w="15309" w:type="dxa"/>
        <w:tblInd w:w="-5"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631"/>
        <w:gridCol w:w="6914"/>
        <w:gridCol w:w="6764"/>
      </w:tblGrid>
      <w:tr w:rsidR="000C5C06" w:rsidRPr="00D41215" w14:paraId="5401AF90" w14:textId="77777777" w:rsidTr="00C21D1C">
        <w:trPr>
          <w:trHeight w:hRule="exact" w:val="388"/>
          <w:tblHeader/>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3D8568CD" w14:textId="77777777" w:rsidR="000C5C06" w:rsidRPr="00D41215" w:rsidRDefault="000C5C06" w:rsidP="00F64A58">
            <w:pPr>
              <w:pStyle w:val="TableHeader"/>
              <w:rPr>
                <w:szCs w:val="2"/>
              </w:rPr>
            </w:pPr>
            <w:bookmarkStart w:id="0" w:name="_Hlk201568584"/>
            <w:r>
              <w:rPr>
                <w:szCs w:val="2"/>
              </w:rPr>
              <w:t xml:space="preserve">No. </w:t>
            </w:r>
          </w:p>
        </w:tc>
        <w:tc>
          <w:tcPr>
            <w:tcW w:w="6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42125E82" w14:textId="77777777" w:rsidR="000C5C06" w:rsidRPr="00D41215" w:rsidRDefault="000C5C06" w:rsidP="00F64A58">
            <w:pPr>
              <w:pStyle w:val="TableHeader"/>
              <w:jc w:val="center"/>
              <w:rPr>
                <w:szCs w:val="2"/>
              </w:rPr>
            </w:pPr>
            <w:r>
              <w:rPr>
                <w:szCs w:val="2"/>
              </w:rPr>
              <w:t>Comments on proposed policy</w:t>
            </w:r>
          </w:p>
        </w:tc>
        <w:tc>
          <w:tcPr>
            <w:tcW w:w="6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55C0797E" w14:textId="77777777" w:rsidR="000C5C06" w:rsidRPr="00D41215" w:rsidRDefault="000C5C06" w:rsidP="00772063">
            <w:pPr>
              <w:pStyle w:val="TableHeader"/>
              <w:jc w:val="center"/>
              <w:rPr>
                <w:szCs w:val="2"/>
              </w:rPr>
            </w:pPr>
            <w:r>
              <w:rPr>
                <w:szCs w:val="2"/>
              </w:rPr>
              <w:t>Comments on legislation</w:t>
            </w:r>
          </w:p>
        </w:tc>
      </w:tr>
      <w:tr w:rsidR="000C5C06" w:rsidRPr="00D41215" w14:paraId="58D556AC" w14:textId="77777777" w:rsidTr="00C21D1C">
        <w:trPr>
          <w:trHeight w:hRule="exact" w:val="451"/>
        </w:trPr>
        <w:tc>
          <w:tcPr>
            <w:tcW w:w="15309" w:type="dxa"/>
            <w:gridSpan w:val="3"/>
            <w:tcBorders>
              <w:top w:val="single" w:sz="4" w:space="0" w:color="FFFFFF" w:themeColor="background1"/>
              <w:left w:val="single" w:sz="4" w:space="0" w:color="auto"/>
              <w:bottom w:val="single" w:sz="4" w:space="0" w:color="auto"/>
              <w:right w:val="single" w:sz="4" w:space="0" w:color="auto"/>
            </w:tcBorders>
            <w:shd w:val="clear" w:color="auto" w:fill="0D0D2D" w:themeFill="text1"/>
          </w:tcPr>
          <w:p w14:paraId="72A58654" w14:textId="326DFEB7" w:rsidR="00BF56DD" w:rsidRPr="00BF56DD" w:rsidRDefault="00014BA9" w:rsidP="00BF56DD">
            <w:pPr>
              <w:pStyle w:val="TableHeader"/>
              <w:rPr>
                <w:bCs/>
                <w:color w:val="auto"/>
                <w:szCs w:val="2"/>
                <w:lang w:val="en-GB"/>
              </w:rPr>
            </w:pPr>
            <w:bookmarkStart w:id="1" w:name="_Hlk120534488"/>
            <w:bookmarkEnd w:id="0"/>
            <w:r>
              <w:rPr>
                <w:bCs/>
                <w:color w:val="auto"/>
                <w:szCs w:val="2"/>
                <w:lang w:val="en-GB"/>
              </w:rPr>
              <w:t xml:space="preserve">Key features of </w:t>
            </w:r>
            <w:r w:rsidR="00A1709E">
              <w:rPr>
                <w:bCs/>
                <w:color w:val="auto"/>
                <w:szCs w:val="2"/>
                <w:lang w:val="en-GB"/>
              </w:rPr>
              <w:t>DIFC VCC regime</w:t>
            </w:r>
          </w:p>
          <w:p w14:paraId="5FB90A84" w14:textId="293508F6" w:rsidR="000C5C06" w:rsidRPr="00C70806" w:rsidRDefault="000C5C06" w:rsidP="0002712A">
            <w:pPr>
              <w:pStyle w:val="TableHeader"/>
              <w:rPr>
                <w:bCs/>
                <w:color w:val="auto"/>
                <w:szCs w:val="2"/>
              </w:rPr>
            </w:pPr>
          </w:p>
        </w:tc>
      </w:tr>
      <w:bookmarkEnd w:id="1"/>
      <w:tr w:rsidR="00014BA9" w:rsidRPr="00D41215" w14:paraId="2D78097C" w14:textId="77777777" w:rsidTr="00C21D1C">
        <w:trPr>
          <w:trHeight w:hRule="exact" w:val="853"/>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06A61B75" w14:textId="30B4FEF6" w:rsidR="00014BA9" w:rsidRPr="00A1709E" w:rsidRDefault="00014BA9" w:rsidP="00A1709E">
            <w:pPr>
              <w:pStyle w:val="TableHeader"/>
              <w:tabs>
                <w:tab w:val="left" w:pos="270"/>
              </w:tabs>
              <w:ind w:left="457" w:hanging="457"/>
              <w:rPr>
                <w:b w:val="0"/>
                <w:color w:val="auto"/>
                <w:szCs w:val="22"/>
              </w:rPr>
            </w:pPr>
            <w:r w:rsidRPr="000C5C06">
              <w:rPr>
                <w:color w:val="auto"/>
                <w:szCs w:val="2"/>
              </w:rPr>
              <w:t>Q</w:t>
            </w:r>
            <w:r>
              <w:rPr>
                <w:color w:val="auto"/>
                <w:szCs w:val="2"/>
              </w:rPr>
              <w:t>1:</w:t>
            </w:r>
            <w:r w:rsidRPr="00014BA9">
              <w:rPr>
                <w:rFonts w:ascii="Arial" w:eastAsia="MS PGothic" w:hAnsi="Arial" w:cs="Arial"/>
                <w:color w:val="191851"/>
                <w:spacing w:val="1"/>
                <w:sz w:val="18"/>
                <w:szCs w:val="22"/>
                <w:lang w:eastAsia="zh-CN"/>
              </w:rPr>
              <w:t xml:space="preserve"> </w:t>
            </w:r>
            <w:r w:rsidR="00A1709E">
              <w:rPr>
                <w:rFonts w:ascii="Arial" w:eastAsia="MS PGothic" w:hAnsi="Arial" w:cs="Arial"/>
                <w:color w:val="191851"/>
                <w:spacing w:val="1"/>
                <w:sz w:val="18"/>
                <w:szCs w:val="22"/>
                <w:lang w:eastAsia="zh-CN"/>
              </w:rPr>
              <w:t xml:space="preserve"> </w:t>
            </w:r>
            <w:r w:rsidR="00A1709E">
              <w:rPr>
                <w:rFonts w:ascii="Arial" w:eastAsia="MS PGothic" w:hAnsi="Arial" w:cs="Arial"/>
                <w:color w:val="191851"/>
                <w:spacing w:val="1"/>
                <w:szCs w:val="22"/>
                <w:lang w:eastAsia="zh-CN"/>
              </w:rPr>
              <w:t>Do you have any concerns as to possible adverse consequences for the DIFC if it were to legislate to provide for establishment of variable capital companies either generally or specifically as contemplated in the Proposed Regulations? If so, what are they and how should they be addressed?</w:t>
            </w:r>
          </w:p>
        </w:tc>
      </w:tr>
      <w:tr w:rsidR="000C5C06" w:rsidRPr="00D41215" w14:paraId="2F8967A6"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F489AAE" w14:textId="77777777" w:rsidR="000C5C06" w:rsidRPr="000C5C06" w:rsidRDefault="000C5C06" w:rsidP="000C5C06">
            <w:pPr>
              <w:pStyle w:val="TableHeader"/>
              <w:rPr>
                <w:b w:val="0"/>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F62E425" w14:textId="77777777" w:rsidR="000C5C06" w:rsidRPr="000C5C06" w:rsidRDefault="000C5C06" w:rsidP="000C5C06">
            <w:pPr>
              <w:pStyle w:val="TableHeader"/>
              <w:rPr>
                <w:b w:val="0"/>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6FD73E99" w14:textId="77777777" w:rsidR="000C5C06" w:rsidRPr="000C5C06" w:rsidRDefault="000C5C06" w:rsidP="000C5C06">
            <w:pPr>
              <w:pStyle w:val="TableHeader"/>
              <w:rPr>
                <w:b w:val="0"/>
                <w:color w:val="auto"/>
                <w:szCs w:val="2"/>
              </w:rPr>
            </w:pPr>
          </w:p>
        </w:tc>
      </w:tr>
      <w:tr w:rsidR="009F236E" w:rsidRPr="00D41215" w14:paraId="7C3EB6A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0975757" w14:textId="77777777" w:rsidR="009F236E" w:rsidRPr="000C5C06" w:rsidRDefault="009F236E" w:rsidP="000C5C06">
            <w:pPr>
              <w:pStyle w:val="TableHeader"/>
              <w:rPr>
                <w:b w:val="0"/>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8FEA75A" w14:textId="77777777" w:rsidR="009F236E" w:rsidRPr="000C5C06" w:rsidRDefault="009F236E" w:rsidP="000C5C06">
            <w:pPr>
              <w:pStyle w:val="TableHeader"/>
              <w:rPr>
                <w:b w:val="0"/>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5C67268C" w14:textId="77777777" w:rsidR="009F236E" w:rsidRPr="000C5C06" w:rsidRDefault="009F236E" w:rsidP="000C5C06">
            <w:pPr>
              <w:pStyle w:val="TableHeader"/>
              <w:rPr>
                <w:b w:val="0"/>
                <w:color w:val="auto"/>
                <w:szCs w:val="2"/>
              </w:rPr>
            </w:pPr>
          </w:p>
        </w:tc>
      </w:tr>
      <w:tr w:rsidR="00383818" w:rsidRPr="00D41215" w14:paraId="49B759E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DA399AA" w14:textId="77777777" w:rsidR="00383818" w:rsidRPr="000C5C06" w:rsidRDefault="00383818" w:rsidP="000C5C06">
            <w:pPr>
              <w:pStyle w:val="TableHeader"/>
              <w:rPr>
                <w:b w:val="0"/>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84AE334" w14:textId="77777777" w:rsidR="00383818" w:rsidRPr="000C5C06" w:rsidRDefault="00383818" w:rsidP="000C5C06">
            <w:pPr>
              <w:pStyle w:val="TableHeader"/>
              <w:rPr>
                <w:b w:val="0"/>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5BFB1090" w14:textId="77777777" w:rsidR="00383818" w:rsidRPr="000C5C06" w:rsidRDefault="00383818" w:rsidP="000C5C06">
            <w:pPr>
              <w:pStyle w:val="TableHeader"/>
              <w:rPr>
                <w:b w:val="0"/>
                <w:color w:val="auto"/>
                <w:szCs w:val="2"/>
              </w:rPr>
            </w:pPr>
          </w:p>
        </w:tc>
      </w:tr>
      <w:tr w:rsidR="00D971CF" w:rsidRPr="00D41215" w14:paraId="6909A2C6"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EA97E32" w14:textId="77777777" w:rsidR="00D971CF" w:rsidRPr="000C5C06" w:rsidRDefault="00D971CF" w:rsidP="000C5C06">
            <w:pPr>
              <w:pStyle w:val="TableHeader"/>
              <w:rPr>
                <w:b w:val="0"/>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75B3BE6" w14:textId="77777777" w:rsidR="00D971CF" w:rsidRPr="000C5C06" w:rsidRDefault="00D971CF" w:rsidP="000C5C06">
            <w:pPr>
              <w:pStyle w:val="TableHeader"/>
              <w:rPr>
                <w:b w:val="0"/>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215CA96" w14:textId="77777777" w:rsidR="00D971CF" w:rsidRPr="000C5C06" w:rsidRDefault="00D971CF" w:rsidP="000C5C06">
            <w:pPr>
              <w:pStyle w:val="TableHeader"/>
              <w:rPr>
                <w:b w:val="0"/>
                <w:color w:val="auto"/>
                <w:szCs w:val="2"/>
              </w:rPr>
            </w:pPr>
          </w:p>
        </w:tc>
      </w:tr>
      <w:tr w:rsidR="005321EB" w:rsidRPr="00D41215" w14:paraId="0E5CF2DA" w14:textId="77777777" w:rsidTr="00C21D1C">
        <w:trPr>
          <w:trHeight w:val="17"/>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0CAAC53A" w14:textId="1DB02EFB" w:rsidR="005321EB" w:rsidRPr="004E568E" w:rsidRDefault="00A1709E" w:rsidP="009F236E">
            <w:pPr>
              <w:pStyle w:val="TableHeader"/>
              <w:rPr>
                <w:bCs/>
                <w:color w:val="auto"/>
                <w:szCs w:val="2"/>
              </w:rPr>
            </w:pPr>
            <w:bookmarkStart w:id="2" w:name="_Hlk120535136"/>
            <w:r>
              <w:rPr>
                <w:bCs/>
                <w:color w:val="auto"/>
                <w:szCs w:val="2"/>
              </w:rPr>
              <w:lastRenderedPageBreak/>
              <w:t>Qualifying requirements</w:t>
            </w:r>
          </w:p>
        </w:tc>
      </w:tr>
      <w:bookmarkEnd w:id="2"/>
      <w:tr w:rsidR="003C7656" w:rsidRPr="00D41215" w14:paraId="69E5D0B5" w14:textId="77777777" w:rsidTr="00C21D1C">
        <w:trPr>
          <w:trHeight w:hRule="exact" w:val="899"/>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397C2009" w14:textId="6E781C28" w:rsidR="003C7656" w:rsidRPr="004E568E" w:rsidRDefault="003C7656" w:rsidP="00A1709E">
            <w:pPr>
              <w:pStyle w:val="TableHeader"/>
              <w:tabs>
                <w:tab w:val="left" w:pos="585"/>
              </w:tabs>
              <w:ind w:left="484" w:hanging="484"/>
              <w:jc w:val="both"/>
              <w:rPr>
                <w:bCs/>
                <w:color w:val="auto"/>
                <w:szCs w:val="2"/>
              </w:rPr>
            </w:pPr>
            <w:r>
              <w:rPr>
                <w:bCs/>
                <w:color w:val="auto"/>
                <w:szCs w:val="2"/>
              </w:rPr>
              <w:t>Q</w:t>
            </w:r>
            <w:r w:rsidR="004C682E">
              <w:rPr>
                <w:bCs/>
                <w:color w:val="auto"/>
                <w:szCs w:val="2"/>
              </w:rPr>
              <w:t>2</w:t>
            </w:r>
            <w:r>
              <w:rPr>
                <w:bCs/>
                <w:color w:val="auto"/>
                <w:szCs w:val="2"/>
              </w:rPr>
              <w:t xml:space="preserve">: </w:t>
            </w:r>
            <w:r w:rsidR="00CB78B4">
              <w:rPr>
                <w:bCs/>
                <w:color w:val="auto"/>
                <w:szCs w:val="2"/>
              </w:rPr>
              <w:t xml:space="preserve"> </w:t>
            </w:r>
            <w:r w:rsidR="00A1709E" w:rsidRPr="00A1709E">
              <w:rPr>
                <w:bCs/>
                <w:color w:val="auto"/>
                <w:szCs w:val="2"/>
                <w:lang w:val="en-GB"/>
              </w:rPr>
              <w:t>Do you have any concerns about the scope of the qualifying requirements and use of Variable Capital Companies in the context of doing business in the DIFC? If so, please provide details.</w:t>
            </w:r>
          </w:p>
        </w:tc>
      </w:tr>
      <w:tr w:rsidR="005321EB" w:rsidRPr="00D41215" w14:paraId="4A4B00C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084AEFC" w14:textId="77777777" w:rsidR="005321EB" w:rsidRPr="004E568E" w:rsidRDefault="005321EB"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D39BD5B" w14:textId="77777777" w:rsidR="005321EB" w:rsidRPr="004E568E" w:rsidRDefault="005321EB"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5B2234A8" w14:textId="77777777" w:rsidR="005321EB" w:rsidRPr="004E568E" w:rsidRDefault="005321EB" w:rsidP="000C5C06">
            <w:pPr>
              <w:pStyle w:val="TableHeader"/>
              <w:rPr>
                <w:bCs/>
                <w:color w:val="auto"/>
                <w:szCs w:val="2"/>
              </w:rPr>
            </w:pPr>
          </w:p>
        </w:tc>
      </w:tr>
      <w:tr w:rsidR="006102BB" w:rsidRPr="00D41215" w14:paraId="10F57E5A"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754E2F7" w14:textId="77777777" w:rsidR="006102BB" w:rsidRPr="004E568E" w:rsidRDefault="006102BB"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E93F0D3" w14:textId="77777777" w:rsidR="006102BB" w:rsidRPr="004E568E" w:rsidRDefault="006102BB"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C8AB95A" w14:textId="77777777" w:rsidR="006102BB" w:rsidRPr="004E568E" w:rsidRDefault="006102BB" w:rsidP="000C5C06">
            <w:pPr>
              <w:pStyle w:val="TableHeader"/>
              <w:rPr>
                <w:bCs/>
                <w:color w:val="auto"/>
                <w:szCs w:val="2"/>
              </w:rPr>
            </w:pPr>
          </w:p>
        </w:tc>
      </w:tr>
      <w:tr w:rsidR="00383818" w:rsidRPr="00D41215" w14:paraId="414E3D3A"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DC70412" w14:textId="77777777" w:rsidR="00383818" w:rsidRPr="004E568E" w:rsidRDefault="00383818"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6F3D67D" w14:textId="77777777" w:rsidR="00383818" w:rsidRPr="004E568E" w:rsidRDefault="00383818"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3788335" w14:textId="77777777" w:rsidR="00383818" w:rsidRPr="004E568E" w:rsidRDefault="00383818" w:rsidP="000C5C06">
            <w:pPr>
              <w:pStyle w:val="TableHeader"/>
              <w:rPr>
                <w:bCs/>
                <w:color w:val="auto"/>
                <w:szCs w:val="2"/>
              </w:rPr>
            </w:pPr>
          </w:p>
        </w:tc>
      </w:tr>
      <w:tr w:rsidR="00BC0A23" w:rsidRPr="00D41215" w14:paraId="2564D068"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3216763" w14:textId="77777777" w:rsidR="00BC0A23" w:rsidRPr="004E568E" w:rsidRDefault="00BC0A23"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3880D3F" w14:textId="77777777" w:rsidR="00BC0A23" w:rsidRPr="004E568E" w:rsidRDefault="00BC0A23"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570D9EB" w14:textId="77777777" w:rsidR="00BC0A23" w:rsidRPr="004E568E" w:rsidRDefault="00BC0A23" w:rsidP="000C5C06">
            <w:pPr>
              <w:pStyle w:val="TableHeader"/>
              <w:rPr>
                <w:bCs/>
                <w:color w:val="auto"/>
                <w:szCs w:val="2"/>
              </w:rPr>
            </w:pPr>
          </w:p>
        </w:tc>
      </w:tr>
      <w:tr w:rsidR="00F81D88" w:rsidRPr="00D41215" w14:paraId="622DE43D" w14:textId="77777777" w:rsidTr="00C21D1C">
        <w:trPr>
          <w:trHeight w:hRule="exact" w:val="717"/>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4003A66A" w14:textId="606A70D9" w:rsidR="00A1709E" w:rsidRPr="00A1709E" w:rsidRDefault="00F81D88" w:rsidP="00A1709E">
            <w:pPr>
              <w:pStyle w:val="TableHeader"/>
              <w:ind w:left="457" w:hanging="484"/>
              <w:jc w:val="both"/>
              <w:rPr>
                <w:bCs/>
                <w:color w:val="auto"/>
                <w:szCs w:val="2"/>
                <w:lang w:val="en-GB"/>
              </w:rPr>
            </w:pPr>
            <w:r>
              <w:rPr>
                <w:bCs/>
                <w:color w:val="auto"/>
                <w:szCs w:val="2"/>
              </w:rPr>
              <w:t xml:space="preserve">Q3: </w:t>
            </w:r>
            <w:r w:rsidR="00CB78B4">
              <w:rPr>
                <w:bCs/>
                <w:color w:val="auto"/>
                <w:szCs w:val="2"/>
              </w:rPr>
              <w:t xml:space="preserve"> </w:t>
            </w:r>
            <w:r w:rsidR="00A1709E" w:rsidRPr="00A1709E">
              <w:rPr>
                <w:bCs/>
                <w:color w:val="auto"/>
                <w:szCs w:val="2"/>
                <w:lang w:val="en-GB"/>
              </w:rPr>
              <w:t xml:space="preserve">Are there any restrictions in respect of the types of </w:t>
            </w:r>
            <w:proofErr w:type="gramStart"/>
            <w:r w:rsidR="00A1709E" w:rsidRPr="00A1709E">
              <w:rPr>
                <w:bCs/>
                <w:color w:val="auto"/>
                <w:szCs w:val="2"/>
                <w:lang w:val="en-GB"/>
              </w:rPr>
              <w:t>applicant</w:t>
            </w:r>
            <w:proofErr w:type="gramEnd"/>
            <w:r w:rsidR="00A1709E" w:rsidRPr="00A1709E">
              <w:rPr>
                <w:bCs/>
                <w:color w:val="auto"/>
                <w:szCs w:val="2"/>
                <w:lang w:val="en-GB"/>
              </w:rPr>
              <w:t xml:space="preserve"> that may establish a VCC that you think it would be appropriate to include? If so, please explain which restrictions should be included and why.</w:t>
            </w:r>
          </w:p>
          <w:p w14:paraId="73D8E09D" w14:textId="6714167C" w:rsidR="00F81D88" w:rsidRPr="004E568E" w:rsidRDefault="00F81D88" w:rsidP="00A1709E">
            <w:pPr>
              <w:pStyle w:val="TableHeader"/>
              <w:ind w:left="457" w:hanging="484"/>
              <w:jc w:val="both"/>
              <w:rPr>
                <w:bCs/>
                <w:color w:val="auto"/>
                <w:szCs w:val="2"/>
              </w:rPr>
            </w:pPr>
          </w:p>
        </w:tc>
      </w:tr>
      <w:tr w:rsidR="00F81D88" w:rsidRPr="00D41215" w14:paraId="36349383"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8224BF0" w14:textId="77777777" w:rsidR="00F81D88" w:rsidRPr="004E568E" w:rsidRDefault="00F81D88"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6C83796" w14:textId="77777777" w:rsidR="00F81D88" w:rsidRPr="004E568E" w:rsidRDefault="00F81D88"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5A096A01" w14:textId="77777777" w:rsidR="00F81D88" w:rsidRPr="004E568E" w:rsidRDefault="00F81D88" w:rsidP="000C5C06">
            <w:pPr>
              <w:pStyle w:val="TableHeader"/>
              <w:rPr>
                <w:bCs/>
                <w:color w:val="auto"/>
                <w:szCs w:val="2"/>
              </w:rPr>
            </w:pPr>
          </w:p>
        </w:tc>
      </w:tr>
      <w:tr w:rsidR="00F81D88" w:rsidRPr="00D41215" w14:paraId="2991F0E9"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D37DD64" w14:textId="77777777" w:rsidR="00F81D88" w:rsidRPr="004E568E" w:rsidRDefault="00F81D88"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3350E89" w14:textId="77777777" w:rsidR="00F81D88" w:rsidRPr="004E568E" w:rsidRDefault="00F81D88"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57B6301" w14:textId="77777777" w:rsidR="00F81D88" w:rsidRPr="004E568E" w:rsidRDefault="00F81D88" w:rsidP="000C5C06">
            <w:pPr>
              <w:pStyle w:val="TableHeader"/>
              <w:rPr>
                <w:bCs/>
                <w:color w:val="auto"/>
                <w:szCs w:val="2"/>
              </w:rPr>
            </w:pPr>
          </w:p>
        </w:tc>
      </w:tr>
      <w:tr w:rsidR="00383818" w:rsidRPr="00D41215" w14:paraId="0E2422BB"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4CAF029E" w14:textId="77777777" w:rsidR="00383818" w:rsidRPr="004E568E" w:rsidRDefault="00383818"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1043924" w14:textId="77777777" w:rsidR="00383818" w:rsidRPr="004E568E" w:rsidRDefault="00383818"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A1120CD" w14:textId="77777777" w:rsidR="00383818" w:rsidRPr="004E568E" w:rsidRDefault="00383818" w:rsidP="000C5C06">
            <w:pPr>
              <w:pStyle w:val="TableHeader"/>
              <w:rPr>
                <w:bCs/>
                <w:color w:val="auto"/>
                <w:szCs w:val="2"/>
              </w:rPr>
            </w:pPr>
          </w:p>
        </w:tc>
      </w:tr>
      <w:tr w:rsidR="00BC0A23" w:rsidRPr="00D41215" w14:paraId="7C70295C"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293F2A68" w14:textId="77777777" w:rsidR="00BC0A23" w:rsidRPr="004E568E" w:rsidRDefault="00BC0A23"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74AAF38" w14:textId="77777777" w:rsidR="00BC0A23" w:rsidRPr="004E568E" w:rsidRDefault="00BC0A23"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730F693" w14:textId="77777777" w:rsidR="00BC0A23" w:rsidRPr="004E568E" w:rsidRDefault="00BC0A23" w:rsidP="000C5C06">
            <w:pPr>
              <w:pStyle w:val="TableHeader"/>
              <w:rPr>
                <w:bCs/>
                <w:color w:val="auto"/>
                <w:szCs w:val="2"/>
              </w:rPr>
            </w:pPr>
          </w:p>
        </w:tc>
      </w:tr>
      <w:tr w:rsidR="00F81D88" w:rsidRPr="00D41215" w14:paraId="66FD8569" w14:textId="77777777" w:rsidTr="00C21D1C">
        <w:trPr>
          <w:trHeight w:hRule="exact" w:val="1011"/>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65752C4F" w14:textId="1C0221F7" w:rsidR="00CB78B4" w:rsidRPr="00CB78B4" w:rsidRDefault="00F81D88" w:rsidP="00CB78B4">
            <w:pPr>
              <w:pStyle w:val="TableHeader"/>
              <w:ind w:left="457" w:hanging="484"/>
              <w:jc w:val="both"/>
              <w:rPr>
                <w:bCs/>
                <w:color w:val="auto"/>
                <w:szCs w:val="2"/>
                <w:lang w:val="en-GB"/>
              </w:rPr>
            </w:pPr>
            <w:r>
              <w:rPr>
                <w:bCs/>
                <w:color w:val="auto"/>
                <w:szCs w:val="2"/>
              </w:rPr>
              <w:t xml:space="preserve">Q4: </w:t>
            </w:r>
            <w:r w:rsidR="00CB78B4">
              <w:rPr>
                <w:bCs/>
                <w:color w:val="auto"/>
                <w:szCs w:val="2"/>
              </w:rPr>
              <w:t xml:space="preserve"> </w:t>
            </w:r>
            <w:r w:rsidR="00CB78B4" w:rsidRPr="00CB78B4">
              <w:rPr>
                <w:bCs/>
                <w:color w:val="auto"/>
                <w:szCs w:val="2"/>
                <w:lang w:val="en-GB"/>
              </w:rPr>
              <w:t>Do you agree that the definition of Secondaries Structure sufficiently captures the proposed uses outlined in this consultation paper. If not, what changes would you make to the definition and why?</w:t>
            </w:r>
          </w:p>
          <w:p w14:paraId="2D27B2A7" w14:textId="5B31CACF" w:rsidR="00F81D88" w:rsidRPr="00F81D88" w:rsidRDefault="00F81D88" w:rsidP="00F81D88">
            <w:pPr>
              <w:pStyle w:val="TableHeader"/>
              <w:ind w:left="457" w:hanging="484"/>
              <w:jc w:val="both"/>
              <w:rPr>
                <w:b w:val="0"/>
                <w:color w:val="auto"/>
                <w:szCs w:val="2"/>
              </w:rPr>
            </w:pPr>
          </w:p>
        </w:tc>
      </w:tr>
      <w:tr w:rsidR="00F81D88" w:rsidRPr="00D41215" w14:paraId="2D50B94D"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6937BBD" w14:textId="77777777" w:rsidR="00F81D88" w:rsidRPr="004E568E" w:rsidRDefault="00F81D88"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2FEE1B8" w14:textId="77777777" w:rsidR="00F81D88" w:rsidRPr="004E568E" w:rsidRDefault="00F81D88"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7262471" w14:textId="77777777" w:rsidR="00F81D88" w:rsidRPr="004E568E" w:rsidRDefault="00F81D88" w:rsidP="000C5C06">
            <w:pPr>
              <w:pStyle w:val="TableHeader"/>
              <w:rPr>
                <w:bCs/>
                <w:color w:val="auto"/>
                <w:szCs w:val="2"/>
              </w:rPr>
            </w:pPr>
          </w:p>
        </w:tc>
      </w:tr>
      <w:tr w:rsidR="00F81D88" w:rsidRPr="00D41215" w14:paraId="35A6CDA3"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4A48C491" w14:textId="77777777" w:rsidR="00F81D88" w:rsidRPr="004E568E" w:rsidRDefault="00F81D88"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4A9BF86" w14:textId="77777777" w:rsidR="00F81D88" w:rsidRPr="004E568E" w:rsidRDefault="00F81D88"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5F255124" w14:textId="77777777" w:rsidR="00F81D88" w:rsidRPr="004E568E" w:rsidRDefault="00F81D88" w:rsidP="000C5C06">
            <w:pPr>
              <w:pStyle w:val="TableHeader"/>
              <w:rPr>
                <w:bCs/>
                <w:color w:val="auto"/>
                <w:szCs w:val="2"/>
              </w:rPr>
            </w:pPr>
          </w:p>
        </w:tc>
      </w:tr>
      <w:tr w:rsidR="00383818" w:rsidRPr="00D41215" w14:paraId="036BCF48"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7F8E7DB" w14:textId="77777777" w:rsidR="00383818" w:rsidRPr="004E568E" w:rsidRDefault="00383818" w:rsidP="000C5C06">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2E382FE" w14:textId="77777777" w:rsidR="00383818" w:rsidRPr="004E568E" w:rsidRDefault="00383818" w:rsidP="000C5C06">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2D251A39" w14:textId="77777777" w:rsidR="00383818" w:rsidRPr="004E568E" w:rsidRDefault="00383818" w:rsidP="000C5C06">
            <w:pPr>
              <w:pStyle w:val="TableHeader"/>
              <w:rPr>
                <w:bCs/>
                <w:color w:val="auto"/>
                <w:szCs w:val="2"/>
              </w:rPr>
            </w:pPr>
          </w:p>
        </w:tc>
      </w:tr>
      <w:tr w:rsidR="006102BB" w:rsidRPr="00D41215" w14:paraId="6580646D" w14:textId="77777777" w:rsidTr="00C21D1C">
        <w:trPr>
          <w:trHeight w:hRule="exact" w:val="57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78888F5C" w14:textId="6FCF394C" w:rsidR="00A36004" w:rsidRPr="00A36004" w:rsidRDefault="00CE6839" w:rsidP="00A36004">
            <w:pPr>
              <w:pStyle w:val="4Heading2"/>
              <w:pBdr>
                <w:top w:val="single" w:sz="12" w:space="1" w:color="002060"/>
                <w:left w:val="single" w:sz="12" w:space="4" w:color="002060"/>
                <w:bottom w:val="single" w:sz="12" w:space="1" w:color="002060"/>
                <w:right w:val="single" w:sz="12" w:space="4" w:color="002060"/>
              </w:pBdr>
              <w:shd w:val="clear" w:color="auto" w:fill="0D0D2D" w:themeFill="text1"/>
              <w:spacing w:before="0" w:after="0"/>
              <w:rPr>
                <w:rFonts w:asciiTheme="minorHAnsi" w:eastAsiaTheme="minorEastAsia" w:hAnsiTheme="minorHAnsi" w:cstheme="minorBidi"/>
                <w:b/>
                <w:bCs/>
                <w:color w:val="auto"/>
                <w:sz w:val="22"/>
                <w:szCs w:val="2"/>
                <w:lang w:eastAsia="en-US"/>
              </w:rPr>
            </w:pPr>
            <w:bookmarkStart w:id="3" w:name="_Hlk201581967"/>
            <w:bookmarkStart w:id="4" w:name="_Hlk120536542"/>
            <w:r>
              <w:rPr>
                <w:rFonts w:asciiTheme="minorHAnsi" w:eastAsiaTheme="minorEastAsia" w:hAnsiTheme="minorHAnsi" w:cstheme="minorBidi"/>
                <w:b/>
                <w:bCs/>
                <w:color w:val="auto"/>
                <w:sz w:val="22"/>
                <w:szCs w:val="2"/>
                <w:lang w:eastAsia="en-US"/>
              </w:rPr>
              <w:lastRenderedPageBreak/>
              <w:t>Segregated and Incorporated Cells</w:t>
            </w:r>
          </w:p>
          <w:p w14:paraId="4AB7F7D6" w14:textId="29F0AE17" w:rsidR="003C7656" w:rsidRPr="003C7656" w:rsidRDefault="003C7656" w:rsidP="003C7656">
            <w:pPr>
              <w:pStyle w:val="TableHeader"/>
              <w:tabs>
                <w:tab w:val="left" w:pos="540"/>
              </w:tabs>
              <w:ind w:left="484" w:hanging="484"/>
              <w:jc w:val="both"/>
              <w:rPr>
                <w:bCs/>
                <w:szCs w:val="2"/>
                <w:lang w:val="en-GB"/>
              </w:rPr>
            </w:pPr>
          </w:p>
          <w:p w14:paraId="17BA69FA" w14:textId="18492FB5" w:rsidR="006102BB" w:rsidRPr="007B3715" w:rsidRDefault="006102BB" w:rsidP="009556AC">
            <w:pPr>
              <w:pStyle w:val="TableHeader"/>
              <w:tabs>
                <w:tab w:val="left" w:pos="540"/>
              </w:tabs>
              <w:ind w:left="484" w:hanging="484"/>
              <w:jc w:val="both"/>
              <w:rPr>
                <w:bCs/>
                <w:color w:val="auto"/>
                <w:szCs w:val="2"/>
                <w:lang w:val="en-GB"/>
              </w:rPr>
            </w:pPr>
          </w:p>
        </w:tc>
      </w:tr>
      <w:bookmarkEnd w:id="3"/>
      <w:tr w:rsidR="003C7656" w:rsidRPr="00D41215" w14:paraId="0A7565D1" w14:textId="77777777" w:rsidTr="00C21D1C">
        <w:trPr>
          <w:trHeight w:hRule="exact" w:val="899"/>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6718A34E" w14:textId="47967858" w:rsidR="00CE6839" w:rsidRPr="00CE6839" w:rsidRDefault="003C7656" w:rsidP="00CE6839">
            <w:pPr>
              <w:pStyle w:val="TableHeader"/>
              <w:tabs>
                <w:tab w:val="left" w:pos="585"/>
              </w:tabs>
              <w:ind w:left="484" w:hanging="484"/>
              <w:jc w:val="both"/>
              <w:rPr>
                <w:bCs/>
                <w:color w:val="auto"/>
                <w:szCs w:val="2"/>
              </w:rPr>
            </w:pPr>
            <w:r>
              <w:rPr>
                <w:bCs/>
                <w:color w:val="auto"/>
                <w:szCs w:val="2"/>
              </w:rPr>
              <w:t>Q</w:t>
            </w:r>
            <w:r w:rsidR="00CE6839">
              <w:rPr>
                <w:bCs/>
                <w:color w:val="auto"/>
                <w:szCs w:val="2"/>
              </w:rPr>
              <w:t>5</w:t>
            </w:r>
            <w:r>
              <w:rPr>
                <w:bCs/>
                <w:color w:val="auto"/>
                <w:szCs w:val="2"/>
              </w:rPr>
              <w:t xml:space="preserve">: </w:t>
            </w:r>
            <w:r w:rsidR="00CE6839">
              <w:rPr>
                <w:bCs/>
                <w:color w:val="auto"/>
                <w:szCs w:val="2"/>
              </w:rPr>
              <w:t xml:space="preserve"> </w:t>
            </w:r>
            <w:r w:rsidR="00CE6839" w:rsidRPr="00CE6839">
              <w:rPr>
                <w:bCs/>
                <w:color w:val="auto"/>
                <w:szCs w:val="2"/>
                <w:lang w:val="en-GB"/>
              </w:rPr>
              <w:t>Do you think that the categories of Cell provided for in the Proposed Regulations are suitable in the DIFC context</w:t>
            </w:r>
            <w:r w:rsidR="00CE6839" w:rsidRPr="00CE6839">
              <w:rPr>
                <w:bCs/>
                <w:color w:val="auto"/>
                <w:szCs w:val="2"/>
              </w:rPr>
              <w:t>?  If not, what changes should be made?</w:t>
            </w:r>
          </w:p>
          <w:p w14:paraId="4AC53454" w14:textId="373DD2EF" w:rsidR="003C7656" w:rsidRPr="004E568E" w:rsidRDefault="003C7656" w:rsidP="00CE6839">
            <w:pPr>
              <w:pStyle w:val="TableHeader"/>
              <w:tabs>
                <w:tab w:val="left" w:pos="585"/>
              </w:tabs>
              <w:ind w:left="484" w:hanging="484"/>
              <w:jc w:val="both"/>
              <w:rPr>
                <w:bCs/>
                <w:color w:val="auto"/>
                <w:szCs w:val="2"/>
              </w:rPr>
            </w:pPr>
          </w:p>
        </w:tc>
      </w:tr>
      <w:tr w:rsidR="006102BB" w:rsidRPr="00D41215" w14:paraId="1AA9DDCE"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99983D1" w14:textId="77777777" w:rsidR="006102BB" w:rsidRPr="004E568E" w:rsidRDefault="006102BB"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16290B6" w14:textId="77777777" w:rsidR="006102BB" w:rsidRPr="004E568E" w:rsidRDefault="006102BB"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D568144" w14:textId="77777777" w:rsidR="006102BB" w:rsidRPr="004E568E" w:rsidRDefault="006102BB" w:rsidP="009556AC">
            <w:pPr>
              <w:pStyle w:val="TableHeader"/>
              <w:rPr>
                <w:bCs/>
                <w:color w:val="auto"/>
                <w:szCs w:val="2"/>
              </w:rPr>
            </w:pPr>
          </w:p>
        </w:tc>
      </w:tr>
      <w:tr w:rsidR="006102BB" w:rsidRPr="00D41215" w14:paraId="2265FD37"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1AEE1FC" w14:textId="77777777" w:rsidR="006102BB" w:rsidRPr="004E568E" w:rsidRDefault="006102BB"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D20323A" w14:textId="77777777" w:rsidR="006102BB" w:rsidRPr="004E568E" w:rsidRDefault="006102BB"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7339EF5" w14:textId="77777777" w:rsidR="006102BB" w:rsidRPr="004E568E" w:rsidRDefault="006102BB" w:rsidP="009556AC">
            <w:pPr>
              <w:pStyle w:val="TableHeader"/>
              <w:rPr>
                <w:bCs/>
                <w:color w:val="auto"/>
                <w:szCs w:val="2"/>
              </w:rPr>
            </w:pPr>
          </w:p>
        </w:tc>
      </w:tr>
      <w:tr w:rsidR="00383818" w:rsidRPr="00D41215" w14:paraId="2A0D8C5B"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33F3035" w14:textId="77777777" w:rsidR="00383818" w:rsidRPr="004E568E" w:rsidRDefault="00383818"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A290AB1" w14:textId="77777777" w:rsidR="00383818" w:rsidRPr="004E568E" w:rsidRDefault="00383818"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38BECF1" w14:textId="77777777" w:rsidR="00383818" w:rsidRPr="004E568E" w:rsidRDefault="00383818" w:rsidP="009556AC">
            <w:pPr>
              <w:pStyle w:val="TableHeader"/>
              <w:rPr>
                <w:bCs/>
                <w:color w:val="auto"/>
                <w:szCs w:val="2"/>
              </w:rPr>
            </w:pPr>
          </w:p>
        </w:tc>
      </w:tr>
      <w:tr w:rsidR="00BC0A23" w:rsidRPr="00D41215" w14:paraId="1EA253D6"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58CFDC7" w14:textId="77777777" w:rsidR="00BC0A23" w:rsidRPr="004E568E" w:rsidRDefault="00BC0A23"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CF0BD4B" w14:textId="77777777" w:rsidR="00BC0A23" w:rsidRPr="004E568E" w:rsidRDefault="00BC0A23"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7A9AC5C7" w14:textId="77777777" w:rsidR="00BC0A23" w:rsidRPr="004E568E" w:rsidRDefault="00BC0A23" w:rsidP="009556AC">
            <w:pPr>
              <w:pStyle w:val="TableHeader"/>
              <w:rPr>
                <w:bCs/>
                <w:color w:val="auto"/>
                <w:szCs w:val="2"/>
              </w:rPr>
            </w:pPr>
          </w:p>
        </w:tc>
      </w:tr>
      <w:tr w:rsidR="00CE6839" w:rsidRPr="00D41215" w14:paraId="2B26AE85" w14:textId="77777777" w:rsidTr="00C21D1C">
        <w:trPr>
          <w:trHeight w:hRule="exact" w:val="57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F8743E0" w14:textId="7ECFF8A8" w:rsidR="00CE6839" w:rsidRPr="00A36004" w:rsidRDefault="00CE6839" w:rsidP="00FA65C0">
            <w:pPr>
              <w:pStyle w:val="4Heading2"/>
              <w:pBdr>
                <w:top w:val="single" w:sz="12" w:space="1" w:color="002060"/>
                <w:left w:val="single" w:sz="12" w:space="4" w:color="002060"/>
                <w:bottom w:val="single" w:sz="12" w:space="1" w:color="002060"/>
                <w:right w:val="single" w:sz="12" w:space="4" w:color="002060"/>
              </w:pBdr>
              <w:shd w:val="clear" w:color="auto" w:fill="0D0D2D" w:themeFill="text1"/>
              <w:spacing w:before="0" w:after="0"/>
              <w:rPr>
                <w:rFonts w:asciiTheme="minorHAnsi" w:eastAsiaTheme="minorEastAsia" w:hAnsiTheme="minorHAnsi" w:cstheme="minorBidi"/>
                <w:b/>
                <w:bCs/>
                <w:color w:val="auto"/>
                <w:sz w:val="22"/>
                <w:szCs w:val="2"/>
                <w:lang w:eastAsia="en-US"/>
              </w:rPr>
            </w:pPr>
            <w:bookmarkStart w:id="5" w:name="_Hlk120536806"/>
            <w:bookmarkEnd w:id="4"/>
            <w:r>
              <w:rPr>
                <w:rFonts w:asciiTheme="minorHAnsi" w:eastAsiaTheme="minorEastAsia" w:hAnsiTheme="minorHAnsi" w:cstheme="minorBidi"/>
                <w:b/>
                <w:bCs/>
                <w:color w:val="auto"/>
                <w:sz w:val="22"/>
                <w:szCs w:val="2"/>
                <w:lang w:eastAsia="en-US"/>
              </w:rPr>
              <w:t>Cellular and Non-Cellular Assets</w:t>
            </w:r>
          </w:p>
          <w:p w14:paraId="7343C150" w14:textId="77777777" w:rsidR="00CE6839" w:rsidRPr="003C7656" w:rsidRDefault="00CE6839" w:rsidP="00FA65C0">
            <w:pPr>
              <w:pStyle w:val="TableHeader"/>
              <w:tabs>
                <w:tab w:val="left" w:pos="540"/>
              </w:tabs>
              <w:ind w:left="484" w:hanging="484"/>
              <w:jc w:val="both"/>
              <w:rPr>
                <w:bCs/>
                <w:szCs w:val="2"/>
                <w:lang w:val="en-GB"/>
              </w:rPr>
            </w:pPr>
          </w:p>
          <w:p w14:paraId="095C0B35" w14:textId="77777777" w:rsidR="00CE6839" w:rsidRPr="007B3715" w:rsidRDefault="00CE6839" w:rsidP="00FA65C0">
            <w:pPr>
              <w:pStyle w:val="TableHeader"/>
              <w:tabs>
                <w:tab w:val="left" w:pos="540"/>
              </w:tabs>
              <w:ind w:left="484" w:hanging="484"/>
              <w:jc w:val="both"/>
              <w:rPr>
                <w:bCs/>
                <w:color w:val="auto"/>
                <w:szCs w:val="2"/>
                <w:lang w:val="en-GB"/>
              </w:rPr>
            </w:pPr>
          </w:p>
        </w:tc>
      </w:tr>
      <w:bookmarkEnd w:id="5"/>
      <w:tr w:rsidR="00CE6839" w:rsidRPr="00D41215" w14:paraId="6000CC22"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6C85580E" w14:textId="77777777" w:rsidR="00CE6839" w:rsidRPr="00CE6839" w:rsidRDefault="00CE6839" w:rsidP="00CE6839">
            <w:pPr>
              <w:pStyle w:val="TableHeader"/>
              <w:tabs>
                <w:tab w:val="left" w:pos="585"/>
              </w:tabs>
              <w:ind w:left="484" w:hanging="484"/>
              <w:jc w:val="both"/>
              <w:rPr>
                <w:bCs/>
                <w:color w:val="auto"/>
                <w:szCs w:val="2"/>
              </w:rPr>
            </w:pPr>
            <w:r>
              <w:rPr>
                <w:bCs/>
                <w:color w:val="auto"/>
                <w:szCs w:val="2"/>
              </w:rPr>
              <w:t xml:space="preserve">Q6:  </w:t>
            </w:r>
            <w:r w:rsidRPr="00CE6839">
              <w:rPr>
                <w:bCs/>
                <w:color w:val="auto"/>
                <w:szCs w:val="2"/>
              </w:rPr>
              <w:t>Are the specific characteristics attributed to Cellular Assets of each of the categories of Cells appropriate?  If not, how could they be improved?</w:t>
            </w:r>
          </w:p>
          <w:p w14:paraId="09D23325" w14:textId="5290078A" w:rsidR="00CE6839" w:rsidRPr="004E568E" w:rsidRDefault="00CE6839" w:rsidP="00CE6839">
            <w:pPr>
              <w:pStyle w:val="TableHeader"/>
              <w:tabs>
                <w:tab w:val="left" w:pos="585"/>
              </w:tabs>
              <w:ind w:left="484" w:hanging="484"/>
              <w:jc w:val="both"/>
              <w:rPr>
                <w:bCs/>
                <w:color w:val="auto"/>
                <w:szCs w:val="2"/>
              </w:rPr>
            </w:pPr>
          </w:p>
        </w:tc>
      </w:tr>
      <w:tr w:rsidR="00CE6839" w:rsidRPr="00D41215" w14:paraId="15AF2A76"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259B4711" w14:textId="77777777" w:rsidR="00CE6839" w:rsidRPr="004E568E" w:rsidRDefault="00CE6839"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1021E35" w14:textId="77777777" w:rsidR="00CE6839" w:rsidRPr="004E568E" w:rsidRDefault="00CE6839"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594DB896" w14:textId="77777777" w:rsidR="00CE6839" w:rsidRPr="004E568E" w:rsidRDefault="00CE6839" w:rsidP="009556AC">
            <w:pPr>
              <w:pStyle w:val="TableHeader"/>
              <w:rPr>
                <w:bCs/>
                <w:color w:val="auto"/>
                <w:szCs w:val="2"/>
              </w:rPr>
            </w:pPr>
          </w:p>
        </w:tc>
      </w:tr>
      <w:tr w:rsidR="00001A56" w:rsidRPr="00D41215" w14:paraId="319D442E"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9A42F50" w14:textId="77777777" w:rsidR="00001A56" w:rsidRPr="004E568E" w:rsidRDefault="00001A56"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AB7C64F" w14:textId="77777777" w:rsidR="00001A56" w:rsidRPr="004E568E" w:rsidRDefault="00001A56"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73FB206" w14:textId="77777777" w:rsidR="00001A56" w:rsidRPr="004E568E" w:rsidRDefault="00001A56" w:rsidP="009556AC">
            <w:pPr>
              <w:pStyle w:val="TableHeader"/>
              <w:rPr>
                <w:bCs/>
                <w:color w:val="auto"/>
                <w:szCs w:val="2"/>
              </w:rPr>
            </w:pPr>
          </w:p>
        </w:tc>
      </w:tr>
      <w:tr w:rsidR="00383818" w:rsidRPr="00D41215" w14:paraId="7A87B38A"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9DAB017" w14:textId="77777777" w:rsidR="00383818" w:rsidRPr="004E568E" w:rsidRDefault="00383818"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5A24E53" w14:textId="77777777" w:rsidR="00383818" w:rsidRPr="004E568E" w:rsidRDefault="00383818"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EA3BC9D" w14:textId="77777777" w:rsidR="00383818" w:rsidRPr="004E568E" w:rsidRDefault="00383818" w:rsidP="009556AC">
            <w:pPr>
              <w:pStyle w:val="TableHeader"/>
              <w:rPr>
                <w:bCs/>
                <w:color w:val="auto"/>
                <w:szCs w:val="2"/>
              </w:rPr>
            </w:pPr>
          </w:p>
        </w:tc>
      </w:tr>
      <w:tr w:rsidR="00BC0A23" w:rsidRPr="00D41215" w14:paraId="3066954C"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2D986EBE" w14:textId="77777777" w:rsidR="00BC0A23" w:rsidRPr="004E568E" w:rsidRDefault="00BC0A23" w:rsidP="009556AC">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BDD44D1" w14:textId="77777777" w:rsidR="00BC0A23" w:rsidRPr="004E568E" w:rsidRDefault="00BC0A23" w:rsidP="009556AC">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2A5DEF2" w14:textId="77777777" w:rsidR="00BC0A23" w:rsidRPr="004E568E" w:rsidRDefault="00BC0A23" w:rsidP="009556AC">
            <w:pPr>
              <w:pStyle w:val="TableHeader"/>
              <w:rPr>
                <w:bCs/>
                <w:color w:val="auto"/>
                <w:szCs w:val="2"/>
              </w:rPr>
            </w:pPr>
          </w:p>
        </w:tc>
      </w:tr>
      <w:tr w:rsidR="00F70F1E" w:rsidRPr="004E568E" w14:paraId="1C4BA2AF"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FDC160D" w14:textId="380008D3" w:rsidR="00F70F1E" w:rsidRPr="00447CDD" w:rsidRDefault="00CE6839" w:rsidP="00CC41F1">
            <w:pPr>
              <w:pStyle w:val="TableHeader"/>
              <w:rPr>
                <w:bCs/>
                <w:color w:val="auto"/>
                <w:szCs w:val="2"/>
                <w:lang w:val="en-GB"/>
              </w:rPr>
            </w:pPr>
            <w:bookmarkStart w:id="6" w:name="_Hlk201572095"/>
            <w:r>
              <w:rPr>
                <w:bCs/>
                <w:color w:val="auto"/>
                <w:szCs w:val="2"/>
                <w:shd w:val="clear" w:color="auto" w:fill="0D0D2D" w:themeFill="text1"/>
                <w:lang w:val="en-GB"/>
              </w:rPr>
              <w:t>Variable capital structure</w:t>
            </w:r>
          </w:p>
          <w:p w14:paraId="2946CDA3" w14:textId="77777777" w:rsidR="00F70F1E" w:rsidRPr="004E568E" w:rsidRDefault="00F70F1E" w:rsidP="00CC41F1">
            <w:pPr>
              <w:pStyle w:val="TableHeader"/>
              <w:rPr>
                <w:bCs/>
                <w:color w:val="auto"/>
                <w:szCs w:val="2"/>
              </w:rPr>
            </w:pPr>
          </w:p>
        </w:tc>
      </w:tr>
      <w:bookmarkEnd w:id="6"/>
      <w:tr w:rsidR="00C16641" w:rsidRPr="004E568E" w14:paraId="66E7F37B" w14:textId="77777777" w:rsidTr="00C21D1C">
        <w:trPr>
          <w:trHeight w:hRule="exact" w:val="738"/>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743ADFDE" w14:textId="1A6112A8" w:rsidR="00CE6839" w:rsidRPr="00CE6839" w:rsidRDefault="00C16641" w:rsidP="00CE6839">
            <w:pPr>
              <w:pStyle w:val="TableHeader"/>
              <w:tabs>
                <w:tab w:val="left" w:pos="540"/>
              </w:tabs>
              <w:ind w:left="484" w:hanging="484"/>
              <w:jc w:val="both"/>
              <w:rPr>
                <w:bCs/>
                <w:color w:val="auto"/>
                <w:szCs w:val="2"/>
                <w:lang w:val="en-GB"/>
              </w:rPr>
            </w:pPr>
            <w:r>
              <w:rPr>
                <w:bCs/>
                <w:color w:val="auto"/>
                <w:szCs w:val="2"/>
              </w:rPr>
              <w:t>Q</w:t>
            </w:r>
            <w:r w:rsidR="00CE6839">
              <w:rPr>
                <w:bCs/>
                <w:color w:val="auto"/>
                <w:szCs w:val="2"/>
              </w:rPr>
              <w:t>7</w:t>
            </w:r>
            <w:r>
              <w:rPr>
                <w:bCs/>
                <w:color w:val="auto"/>
                <w:szCs w:val="2"/>
              </w:rPr>
              <w:t xml:space="preserve">. </w:t>
            </w:r>
            <w:r w:rsidR="00DF7405">
              <w:rPr>
                <w:bCs/>
                <w:color w:val="auto"/>
                <w:szCs w:val="2"/>
              </w:rPr>
              <w:t xml:space="preserve"> </w:t>
            </w:r>
            <w:r w:rsidR="00CE6839" w:rsidRPr="00CE6839">
              <w:rPr>
                <w:bCs/>
                <w:color w:val="auto"/>
                <w:szCs w:val="2"/>
                <w:lang w:val="en-GB"/>
              </w:rPr>
              <w:t>Do you have any concerns about the procedures for the restructuring share capital provided in the Proposed Regulations? If so, please provide details.</w:t>
            </w:r>
          </w:p>
          <w:p w14:paraId="78621C63" w14:textId="11AB3619" w:rsidR="00C16641" w:rsidRPr="004E568E" w:rsidRDefault="00C16641" w:rsidP="00CE6839">
            <w:pPr>
              <w:pStyle w:val="TableHeader"/>
              <w:tabs>
                <w:tab w:val="left" w:pos="540"/>
              </w:tabs>
              <w:ind w:left="484" w:hanging="484"/>
              <w:jc w:val="both"/>
              <w:rPr>
                <w:bCs/>
                <w:color w:val="auto"/>
                <w:szCs w:val="2"/>
              </w:rPr>
            </w:pPr>
          </w:p>
        </w:tc>
      </w:tr>
      <w:tr w:rsidR="00C16641" w:rsidRPr="004E568E" w14:paraId="724DBF14"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BBAD3AF" w14:textId="77777777" w:rsidR="00C16641" w:rsidRPr="004E568E" w:rsidRDefault="00C16641" w:rsidP="00CC41F1">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957D670" w14:textId="77777777" w:rsidR="00C16641" w:rsidRPr="004E568E" w:rsidRDefault="00C16641" w:rsidP="00CC41F1">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9CA55E3" w14:textId="77777777" w:rsidR="00C16641" w:rsidRPr="004E568E" w:rsidRDefault="00C16641" w:rsidP="00CC41F1">
            <w:pPr>
              <w:pStyle w:val="TableHeader"/>
              <w:rPr>
                <w:bCs/>
                <w:color w:val="auto"/>
                <w:szCs w:val="2"/>
              </w:rPr>
            </w:pPr>
          </w:p>
        </w:tc>
      </w:tr>
      <w:tr w:rsidR="00BC0A23" w:rsidRPr="004E568E" w14:paraId="4C84F549"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E8429FF" w14:textId="77777777" w:rsidR="00BC0A23" w:rsidRPr="004E568E" w:rsidRDefault="00BC0A23" w:rsidP="00CC41F1">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F4BEEE2" w14:textId="77777777" w:rsidR="00BC0A23" w:rsidRPr="004E568E" w:rsidRDefault="00BC0A23" w:rsidP="00CC41F1">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2F182660" w14:textId="77777777" w:rsidR="00BC0A23" w:rsidRPr="004E568E" w:rsidRDefault="00BC0A23" w:rsidP="00CC41F1">
            <w:pPr>
              <w:pStyle w:val="TableHeader"/>
              <w:rPr>
                <w:bCs/>
                <w:color w:val="auto"/>
                <w:szCs w:val="2"/>
              </w:rPr>
            </w:pPr>
          </w:p>
        </w:tc>
      </w:tr>
      <w:tr w:rsidR="00F70F1E" w:rsidRPr="004E568E" w14:paraId="4FAA8C8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6B7496B7" w14:textId="77777777" w:rsidR="00F70F1E" w:rsidRPr="004E568E" w:rsidRDefault="00F70F1E" w:rsidP="00CC41F1">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2C6CCEF" w14:textId="77777777" w:rsidR="00F70F1E" w:rsidRPr="004E568E" w:rsidRDefault="00F70F1E" w:rsidP="00CC41F1">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FB0E0BD" w14:textId="77777777" w:rsidR="00F70F1E" w:rsidRPr="004E568E" w:rsidRDefault="00F70F1E" w:rsidP="00CC41F1">
            <w:pPr>
              <w:pStyle w:val="TableHeader"/>
              <w:rPr>
                <w:bCs/>
                <w:color w:val="auto"/>
                <w:szCs w:val="2"/>
              </w:rPr>
            </w:pPr>
          </w:p>
        </w:tc>
      </w:tr>
      <w:tr w:rsidR="00383818" w:rsidRPr="004E568E" w14:paraId="7643DCEA"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7D7DB4F" w14:textId="77777777" w:rsidR="00383818" w:rsidRPr="004E568E" w:rsidRDefault="00383818" w:rsidP="00CC41F1">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F051341" w14:textId="77777777" w:rsidR="00383818" w:rsidRPr="004E568E" w:rsidRDefault="00383818" w:rsidP="00CC41F1">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0C08F3E" w14:textId="77777777" w:rsidR="00383818" w:rsidRPr="004E568E" w:rsidRDefault="00383818" w:rsidP="00CC41F1">
            <w:pPr>
              <w:pStyle w:val="TableHeader"/>
              <w:rPr>
                <w:bCs/>
                <w:color w:val="auto"/>
                <w:szCs w:val="2"/>
              </w:rPr>
            </w:pPr>
          </w:p>
        </w:tc>
      </w:tr>
      <w:tr w:rsidR="006F3A49" w:rsidRPr="004E568E" w14:paraId="362D7EF1"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3DDDBDF9" w14:textId="5F744FA6" w:rsidR="006F3A49" w:rsidRPr="00447CDD" w:rsidRDefault="00CE6839" w:rsidP="00FA65C0">
            <w:pPr>
              <w:pStyle w:val="TableHeader"/>
              <w:rPr>
                <w:bCs/>
                <w:color w:val="auto"/>
                <w:szCs w:val="2"/>
                <w:lang w:val="en-GB"/>
              </w:rPr>
            </w:pPr>
            <w:bookmarkStart w:id="7" w:name="_Hlk201572228"/>
            <w:r>
              <w:rPr>
                <w:bCs/>
                <w:color w:val="auto"/>
                <w:szCs w:val="2"/>
                <w:lang w:val="en-GB"/>
              </w:rPr>
              <w:t>Other key features</w:t>
            </w:r>
          </w:p>
          <w:p w14:paraId="7ECDBF36" w14:textId="77777777" w:rsidR="006F3A49" w:rsidRPr="004E568E" w:rsidRDefault="006F3A49" w:rsidP="00FA65C0">
            <w:pPr>
              <w:pStyle w:val="TableHeader"/>
              <w:rPr>
                <w:bCs/>
                <w:color w:val="auto"/>
                <w:szCs w:val="2"/>
              </w:rPr>
            </w:pPr>
          </w:p>
        </w:tc>
      </w:tr>
      <w:tr w:rsidR="00383818" w:rsidRPr="004E568E" w14:paraId="673D5C10"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68DA93FD" w14:textId="174DCA51" w:rsidR="00383818" w:rsidRPr="00447CDD" w:rsidRDefault="00CE6839" w:rsidP="00FA65C0">
            <w:pPr>
              <w:pStyle w:val="TableHeader"/>
              <w:rPr>
                <w:bCs/>
                <w:color w:val="auto"/>
                <w:szCs w:val="2"/>
                <w:lang w:val="en-GB"/>
              </w:rPr>
            </w:pPr>
            <w:r>
              <w:rPr>
                <w:bCs/>
                <w:color w:val="auto"/>
                <w:szCs w:val="2"/>
                <w:lang w:val="en-GB"/>
              </w:rPr>
              <w:t>Duties and Liabilities of Officers</w:t>
            </w:r>
          </w:p>
          <w:p w14:paraId="246C3BC3" w14:textId="77777777" w:rsidR="00383818" w:rsidRPr="004E568E" w:rsidRDefault="00383818" w:rsidP="00FA65C0">
            <w:pPr>
              <w:pStyle w:val="TableHeader"/>
              <w:rPr>
                <w:bCs/>
                <w:color w:val="auto"/>
                <w:szCs w:val="2"/>
              </w:rPr>
            </w:pPr>
          </w:p>
        </w:tc>
      </w:tr>
      <w:bookmarkEnd w:id="7"/>
      <w:tr w:rsidR="006F3A49" w:rsidRPr="004E568E" w14:paraId="1CB58502" w14:textId="77777777" w:rsidTr="00C21D1C">
        <w:trPr>
          <w:trHeight w:hRule="exact" w:val="928"/>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178D4FC6" w14:textId="0920B254" w:rsidR="00CE6839" w:rsidRPr="00CE6839" w:rsidRDefault="006F3A49" w:rsidP="00CE6839">
            <w:pPr>
              <w:pStyle w:val="TableHeader"/>
              <w:tabs>
                <w:tab w:val="left" w:pos="540"/>
              </w:tabs>
              <w:ind w:left="484" w:hanging="484"/>
              <w:jc w:val="both"/>
              <w:rPr>
                <w:bCs/>
                <w:color w:val="auto"/>
                <w:szCs w:val="2"/>
                <w:lang w:val="en-GB"/>
              </w:rPr>
            </w:pPr>
            <w:r>
              <w:rPr>
                <w:bCs/>
                <w:color w:val="auto"/>
                <w:szCs w:val="2"/>
              </w:rPr>
              <w:t>Q</w:t>
            </w:r>
            <w:r w:rsidR="00CE6839">
              <w:rPr>
                <w:bCs/>
                <w:color w:val="auto"/>
                <w:szCs w:val="2"/>
              </w:rPr>
              <w:t>8</w:t>
            </w:r>
            <w:r>
              <w:rPr>
                <w:bCs/>
                <w:color w:val="auto"/>
                <w:szCs w:val="2"/>
              </w:rPr>
              <w:t xml:space="preserve">. </w:t>
            </w:r>
            <w:r w:rsidR="00DF7405">
              <w:rPr>
                <w:bCs/>
                <w:color w:val="auto"/>
                <w:szCs w:val="2"/>
              </w:rPr>
              <w:t xml:space="preserve"> </w:t>
            </w:r>
            <w:r w:rsidR="00CE6839" w:rsidRPr="00CE6839">
              <w:rPr>
                <w:bCs/>
                <w:color w:val="auto"/>
                <w:szCs w:val="2"/>
                <w:lang w:val="en-GB"/>
              </w:rPr>
              <w:t>Do you agree that Officers should not have a right of indemnity against the Variable Capital Company where they have acted knowingly, recklessly, negligently, or in bad faith in contravening the principles set out in Regulation 7 regarding the separation of assets between the Variable Capital Company and the individual Cells? If not, what standard do you consider more appropriate and why?</w:t>
            </w:r>
          </w:p>
          <w:p w14:paraId="5A4ED105" w14:textId="233A0FC9" w:rsidR="006F3A49" w:rsidRPr="004E568E" w:rsidRDefault="006F3A49" w:rsidP="00CE6839">
            <w:pPr>
              <w:pStyle w:val="TableHeader"/>
              <w:tabs>
                <w:tab w:val="left" w:pos="540"/>
              </w:tabs>
              <w:ind w:left="484" w:hanging="484"/>
              <w:jc w:val="both"/>
              <w:rPr>
                <w:bCs/>
                <w:color w:val="auto"/>
                <w:szCs w:val="2"/>
              </w:rPr>
            </w:pPr>
          </w:p>
        </w:tc>
      </w:tr>
      <w:tr w:rsidR="006F3A49" w:rsidRPr="004E568E" w14:paraId="37FE9FB2"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C40732F" w14:textId="77777777" w:rsidR="006F3A49" w:rsidRPr="004E568E" w:rsidRDefault="006F3A4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F8FAFF6" w14:textId="77777777" w:rsidR="006F3A49" w:rsidRPr="004E568E" w:rsidRDefault="006F3A4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65E3AB3" w14:textId="77777777" w:rsidR="006F3A49" w:rsidRPr="004E568E" w:rsidRDefault="006F3A49" w:rsidP="006F3A49">
            <w:pPr>
              <w:pStyle w:val="TableHeader"/>
              <w:rPr>
                <w:bCs/>
                <w:color w:val="auto"/>
                <w:szCs w:val="2"/>
              </w:rPr>
            </w:pPr>
          </w:p>
        </w:tc>
      </w:tr>
      <w:tr w:rsidR="006F3A49" w:rsidRPr="004E568E" w14:paraId="08ACEC1F"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0E5339B" w14:textId="77777777" w:rsidR="006F3A49" w:rsidRPr="004E568E" w:rsidRDefault="006F3A4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3F9A87D" w14:textId="77777777" w:rsidR="006F3A49" w:rsidRPr="004E568E" w:rsidRDefault="006F3A4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3BC17B88" w14:textId="77777777" w:rsidR="006F3A49" w:rsidRPr="004E568E" w:rsidRDefault="006F3A49" w:rsidP="006F3A49">
            <w:pPr>
              <w:pStyle w:val="TableHeader"/>
              <w:rPr>
                <w:bCs/>
                <w:color w:val="auto"/>
                <w:szCs w:val="2"/>
              </w:rPr>
            </w:pPr>
          </w:p>
        </w:tc>
      </w:tr>
      <w:tr w:rsidR="000B0C7D" w:rsidRPr="004E568E" w14:paraId="73823BB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97EF678" w14:textId="77777777" w:rsidR="000B0C7D" w:rsidRPr="004E568E" w:rsidRDefault="000B0C7D"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6C22079" w14:textId="77777777" w:rsidR="000B0C7D" w:rsidRPr="004E568E" w:rsidRDefault="000B0C7D"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064BBB7" w14:textId="77777777" w:rsidR="000B0C7D" w:rsidRPr="004E568E" w:rsidRDefault="000B0C7D" w:rsidP="006F3A49">
            <w:pPr>
              <w:pStyle w:val="TableHeader"/>
              <w:rPr>
                <w:bCs/>
                <w:color w:val="auto"/>
                <w:szCs w:val="2"/>
              </w:rPr>
            </w:pPr>
          </w:p>
        </w:tc>
      </w:tr>
      <w:tr w:rsidR="00BC0A23" w:rsidRPr="004E568E" w14:paraId="3C9653D8"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2F11393" w14:textId="77777777" w:rsidR="00BC0A23" w:rsidRPr="004E568E" w:rsidRDefault="00BC0A23"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45889C2F" w14:textId="77777777" w:rsidR="00BC0A23" w:rsidRPr="004E568E" w:rsidRDefault="00BC0A23"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24DC903E" w14:textId="77777777" w:rsidR="00BC0A23" w:rsidRPr="004E568E" w:rsidRDefault="00BC0A23" w:rsidP="006F3A49">
            <w:pPr>
              <w:pStyle w:val="TableHeader"/>
              <w:rPr>
                <w:bCs/>
                <w:color w:val="auto"/>
                <w:szCs w:val="2"/>
              </w:rPr>
            </w:pPr>
          </w:p>
        </w:tc>
      </w:tr>
      <w:tr w:rsidR="000B0C7D" w:rsidRPr="004E568E" w14:paraId="344FD74F"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7FD1D0A" w14:textId="338BC7AA" w:rsidR="000B0C7D" w:rsidRDefault="00CE6839" w:rsidP="00FA65C0">
            <w:pPr>
              <w:pStyle w:val="TableHeader"/>
              <w:rPr>
                <w:bCs/>
                <w:color w:val="auto"/>
                <w:szCs w:val="2"/>
                <w:lang w:val="en-GB"/>
              </w:rPr>
            </w:pPr>
            <w:bookmarkStart w:id="8" w:name="_Hlk201572351"/>
            <w:r>
              <w:rPr>
                <w:bCs/>
                <w:color w:val="auto"/>
                <w:szCs w:val="2"/>
                <w:lang w:val="en-GB"/>
              </w:rPr>
              <w:t>Merger or consolidation of a Segregated Cell and transfer of Cellular Assets</w:t>
            </w:r>
          </w:p>
        </w:tc>
      </w:tr>
      <w:bookmarkEnd w:id="8"/>
      <w:tr w:rsidR="006F3A49" w:rsidRPr="004E568E" w14:paraId="1A91968F" w14:textId="77777777" w:rsidTr="00C21D1C">
        <w:trPr>
          <w:trHeight w:hRule="exact" w:val="743"/>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7969902B" w14:textId="54ACED84" w:rsidR="00CE6839" w:rsidRPr="00CE6839" w:rsidRDefault="006F3A49" w:rsidP="00CE6839">
            <w:pPr>
              <w:pStyle w:val="TableHeader"/>
              <w:tabs>
                <w:tab w:val="left" w:pos="540"/>
              </w:tabs>
              <w:ind w:left="484" w:hanging="484"/>
              <w:jc w:val="both"/>
              <w:rPr>
                <w:bCs/>
                <w:color w:val="auto"/>
                <w:szCs w:val="2"/>
                <w:lang w:val="en-GB"/>
              </w:rPr>
            </w:pPr>
            <w:r>
              <w:rPr>
                <w:bCs/>
                <w:color w:val="auto"/>
                <w:szCs w:val="2"/>
              </w:rPr>
              <w:t>Q</w:t>
            </w:r>
            <w:r w:rsidR="00CE6839">
              <w:rPr>
                <w:bCs/>
                <w:color w:val="auto"/>
                <w:szCs w:val="2"/>
              </w:rPr>
              <w:t>9</w:t>
            </w:r>
            <w:r>
              <w:rPr>
                <w:bCs/>
                <w:color w:val="auto"/>
                <w:szCs w:val="2"/>
              </w:rPr>
              <w:t xml:space="preserve">. </w:t>
            </w:r>
            <w:r w:rsidR="00DF7405">
              <w:rPr>
                <w:bCs/>
                <w:color w:val="auto"/>
                <w:szCs w:val="2"/>
              </w:rPr>
              <w:t xml:space="preserve"> </w:t>
            </w:r>
            <w:r w:rsidR="00CE6839" w:rsidRPr="00CE6839">
              <w:rPr>
                <w:bCs/>
                <w:color w:val="auto"/>
                <w:szCs w:val="2"/>
                <w:lang w:val="en-GB"/>
              </w:rPr>
              <w:t>Do you agree that there should be no right for minority shareholders to object to a proposed transfer, merger or consolidation of Segregated Cells? If not, please provide reasons why the right should be included.</w:t>
            </w:r>
          </w:p>
          <w:p w14:paraId="4736C0DC" w14:textId="61CCB9BB" w:rsidR="006F3A49" w:rsidRPr="004E568E" w:rsidRDefault="006F3A49" w:rsidP="00CE6839">
            <w:pPr>
              <w:pStyle w:val="TableHeader"/>
              <w:tabs>
                <w:tab w:val="left" w:pos="540"/>
              </w:tabs>
              <w:ind w:left="484" w:hanging="484"/>
              <w:jc w:val="both"/>
              <w:rPr>
                <w:bCs/>
                <w:color w:val="auto"/>
                <w:szCs w:val="2"/>
              </w:rPr>
            </w:pPr>
          </w:p>
        </w:tc>
      </w:tr>
      <w:tr w:rsidR="006F3A49" w:rsidRPr="004E568E" w14:paraId="1E14091B"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15682F1" w14:textId="77777777" w:rsidR="006F3A49" w:rsidRPr="004E568E" w:rsidRDefault="006F3A4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EEA0927" w14:textId="77777777" w:rsidR="006F3A49" w:rsidRPr="004E568E" w:rsidRDefault="006F3A4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336E0073" w14:textId="77777777" w:rsidR="006F3A49" w:rsidRPr="004E568E" w:rsidRDefault="006F3A49" w:rsidP="006F3A49">
            <w:pPr>
              <w:pStyle w:val="TableHeader"/>
              <w:rPr>
                <w:bCs/>
                <w:color w:val="auto"/>
                <w:szCs w:val="2"/>
              </w:rPr>
            </w:pPr>
          </w:p>
        </w:tc>
      </w:tr>
      <w:tr w:rsidR="006F3A49" w:rsidRPr="004E568E" w14:paraId="613F3B2B"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CD9AD19" w14:textId="77777777" w:rsidR="006F3A49" w:rsidRPr="004E568E" w:rsidRDefault="006F3A4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5D271ED" w14:textId="77777777" w:rsidR="006F3A49" w:rsidRPr="004E568E" w:rsidRDefault="006F3A4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75693C67" w14:textId="77777777" w:rsidR="006F3A49" w:rsidRPr="004E568E" w:rsidRDefault="006F3A49" w:rsidP="006F3A49">
            <w:pPr>
              <w:pStyle w:val="TableHeader"/>
              <w:rPr>
                <w:bCs/>
                <w:color w:val="auto"/>
                <w:szCs w:val="2"/>
              </w:rPr>
            </w:pPr>
          </w:p>
        </w:tc>
      </w:tr>
      <w:tr w:rsidR="000B0C7D" w:rsidRPr="004E568E" w14:paraId="363C98AB"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2795AC4B" w14:textId="77777777" w:rsidR="000B0C7D" w:rsidRPr="004E568E" w:rsidRDefault="000B0C7D"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3FF7EDB" w14:textId="77777777" w:rsidR="000B0C7D" w:rsidRPr="004E568E" w:rsidRDefault="000B0C7D"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6BB26794" w14:textId="77777777" w:rsidR="000B0C7D" w:rsidRPr="004E568E" w:rsidRDefault="000B0C7D" w:rsidP="006F3A49">
            <w:pPr>
              <w:pStyle w:val="TableHeader"/>
              <w:rPr>
                <w:bCs/>
                <w:color w:val="auto"/>
                <w:szCs w:val="2"/>
              </w:rPr>
            </w:pPr>
          </w:p>
        </w:tc>
      </w:tr>
      <w:tr w:rsidR="00BC0A23" w:rsidRPr="004E568E" w14:paraId="19BE1AC8"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55707B59" w14:textId="77777777" w:rsidR="00BC0A23" w:rsidRPr="004E568E" w:rsidRDefault="00BC0A23"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738F799" w14:textId="77777777" w:rsidR="00BC0A23" w:rsidRPr="004E568E" w:rsidRDefault="00BC0A23"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3F7F827F" w14:textId="77777777" w:rsidR="00BC0A23" w:rsidRPr="004E568E" w:rsidRDefault="00BC0A23" w:rsidP="006F3A49">
            <w:pPr>
              <w:pStyle w:val="TableHeader"/>
              <w:rPr>
                <w:bCs/>
                <w:color w:val="auto"/>
                <w:szCs w:val="2"/>
              </w:rPr>
            </w:pPr>
          </w:p>
        </w:tc>
      </w:tr>
      <w:tr w:rsidR="006F3A49" w:rsidRPr="004E568E" w14:paraId="4A2ACA13"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7A79E713" w14:textId="6B99150F" w:rsidR="006F3A49" w:rsidRPr="00447CDD" w:rsidRDefault="00CE6839" w:rsidP="00FA65C0">
            <w:pPr>
              <w:pStyle w:val="TableHeader"/>
              <w:rPr>
                <w:bCs/>
                <w:color w:val="auto"/>
                <w:szCs w:val="2"/>
                <w:lang w:val="en-GB"/>
              </w:rPr>
            </w:pPr>
            <w:bookmarkStart w:id="9" w:name="_Hlk201582402"/>
            <w:r>
              <w:rPr>
                <w:bCs/>
                <w:color w:val="auto"/>
                <w:szCs w:val="2"/>
                <w:lang w:val="en-GB"/>
              </w:rPr>
              <w:t>Conversion, continuation or transfer of a Variable Capital Company</w:t>
            </w:r>
          </w:p>
          <w:p w14:paraId="31A2B5F2" w14:textId="77777777" w:rsidR="006F3A49" w:rsidRPr="004E568E" w:rsidRDefault="006F3A49" w:rsidP="00FA65C0">
            <w:pPr>
              <w:pStyle w:val="TableHeader"/>
              <w:rPr>
                <w:bCs/>
                <w:color w:val="auto"/>
                <w:szCs w:val="2"/>
              </w:rPr>
            </w:pPr>
          </w:p>
        </w:tc>
      </w:tr>
      <w:bookmarkEnd w:id="9"/>
      <w:tr w:rsidR="006F3A49" w:rsidRPr="004E568E" w14:paraId="12E56E77" w14:textId="77777777" w:rsidTr="00C21D1C">
        <w:trPr>
          <w:trHeight w:hRule="exact" w:val="869"/>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590B4670" w14:textId="77777777" w:rsidR="00CE6839" w:rsidRPr="00CE6839" w:rsidRDefault="006F3A49" w:rsidP="00CE6839">
            <w:pPr>
              <w:pStyle w:val="TableHeader"/>
              <w:tabs>
                <w:tab w:val="left" w:pos="540"/>
              </w:tabs>
              <w:ind w:left="484" w:hanging="484"/>
              <w:jc w:val="both"/>
              <w:rPr>
                <w:bCs/>
                <w:color w:val="auto"/>
                <w:szCs w:val="2"/>
                <w:lang w:val="en-GB"/>
              </w:rPr>
            </w:pPr>
            <w:r>
              <w:rPr>
                <w:bCs/>
                <w:color w:val="auto"/>
                <w:szCs w:val="2"/>
              </w:rPr>
              <w:lastRenderedPageBreak/>
              <w:t>Q1</w:t>
            </w:r>
            <w:r w:rsidR="00CE6839">
              <w:rPr>
                <w:bCs/>
                <w:color w:val="auto"/>
                <w:szCs w:val="2"/>
              </w:rPr>
              <w:t>0</w:t>
            </w:r>
            <w:r>
              <w:rPr>
                <w:bCs/>
                <w:color w:val="auto"/>
                <w:szCs w:val="2"/>
              </w:rPr>
              <w:t xml:space="preserve">. </w:t>
            </w:r>
            <w:r w:rsidR="00CE6839" w:rsidRPr="00CE6839">
              <w:rPr>
                <w:bCs/>
                <w:color w:val="auto"/>
                <w:szCs w:val="2"/>
                <w:lang w:val="en-GB"/>
              </w:rPr>
              <w:t>Do you agree with the level of creditor protection on a conversion from a VCC to a Company (or vice versa) proposed under Regulation 10? If not, what changes should be made?</w:t>
            </w:r>
          </w:p>
          <w:p w14:paraId="5C8FC780" w14:textId="209A213D" w:rsidR="006F3A49" w:rsidRPr="004E568E" w:rsidRDefault="006F3A49" w:rsidP="00CE6839">
            <w:pPr>
              <w:pStyle w:val="TableHeader"/>
              <w:tabs>
                <w:tab w:val="left" w:pos="540"/>
              </w:tabs>
              <w:ind w:left="484" w:hanging="484"/>
              <w:jc w:val="both"/>
              <w:rPr>
                <w:bCs/>
                <w:color w:val="auto"/>
                <w:szCs w:val="2"/>
              </w:rPr>
            </w:pPr>
          </w:p>
        </w:tc>
      </w:tr>
      <w:tr w:rsidR="006F3A49" w:rsidRPr="004E568E" w14:paraId="68ADD2A6"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745D17C8" w14:textId="77777777" w:rsidR="006F3A49" w:rsidRPr="004E568E" w:rsidRDefault="006F3A4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32665BE1" w14:textId="77777777" w:rsidR="006F3A49" w:rsidRPr="004E568E" w:rsidRDefault="006F3A4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BDF82E9" w14:textId="77777777" w:rsidR="006F3A49" w:rsidRPr="004E568E" w:rsidRDefault="006F3A49" w:rsidP="006F3A49">
            <w:pPr>
              <w:pStyle w:val="TableHeader"/>
              <w:rPr>
                <w:bCs/>
                <w:color w:val="auto"/>
                <w:szCs w:val="2"/>
              </w:rPr>
            </w:pPr>
          </w:p>
        </w:tc>
      </w:tr>
      <w:tr w:rsidR="006F3A49" w:rsidRPr="004E568E" w14:paraId="34EC299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FB8CF12" w14:textId="77777777" w:rsidR="006F3A49" w:rsidRPr="004E568E" w:rsidRDefault="006F3A4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FECB989" w14:textId="77777777" w:rsidR="006F3A49" w:rsidRPr="004E568E" w:rsidRDefault="006F3A4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7968800" w14:textId="77777777" w:rsidR="006F3A49" w:rsidRPr="004E568E" w:rsidRDefault="006F3A49" w:rsidP="006F3A49">
            <w:pPr>
              <w:pStyle w:val="TableHeader"/>
              <w:rPr>
                <w:bCs/>
                <w:color w:val="auto"/>
                <w:szCs w:val="2"/>
              </w:rPr>
            </w:pPr>
          </w:p>
        </w:tc>
      </w:tr>
      <w:tr w:rsidR="000B0C7D" w:rsidRPr="004E568E" w14:paraId="02F34E37"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D21EBE6" w14:textId="77777777" w:rsidR="000B0C7D" w:rsidRPr="004E568E" w:rsidRDefault="000B0C7D"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69637E57" w14:textId="77777777" w:rsidR="000B0C7D" w:rsidRPr="004E568E" w:rsidRDefault="000B0C7D"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28F2BAC1" w14:textId="77777777" w:rsidR="000B0C7D" w:rsidRPr="004E568E" w:rsidRDefault="000B0C7D" w:rsidP="006F3A49">
            <w:pPr>
              <w:pStyle w:val="TableHeader"/>
              <w:rPr>
                <w:bCs/>
                <w:color w:val="auto"/>
                <w:szCs w:val="2"/>
              </w:rPr>
            </w:pPr>
          </w:p>
        </w:tc>
      </w:tr>
      <w:tr w:rsidR="00BC0A23" w:rsidRPr="004E568E" w14:paraId="6FEFA0D5"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42B07D82" w14:textId="77777777" w:rsidR="00BC0A23" w:rsidRPr="004E568E" w:rsidRDefault="00BC0A23"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7CBC530" w14:textId="77777777" w:rsidR="00BC0A23" w:rsidRPr="004E568E" w:rsidRDefault="00BC0A23"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2F587790" w14:textId="77777777" w:rsidR="00BC0A23" w:rsidRPr="004E568E" w:rsidRDefault="00BC0A23" w:rsidP="006F3A49">
            <w:pPr>
              <w:pStyle w:val="TableHeader"/>
              <w:rPr>
                <w:bCs/>
                <w:color w:val="auto"/>
                <w:szCs w:val="2"/>
              </w:rPr>
            </w:pPr>
          </w:p>
        </w:tc>
      </w:tr>
      <w:tr w:rsidR="00CE6839" w:rsidRPr="004E568E" w14:paraId="677EE895"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34D4C90" w14:textId="76F553F4" w:rsidR="00CE6839" w:rsidRPr="004E568E" w:rsidRDefault="00CE6839" w:rsidP="00CE6839">
            <w:pPr>
              <w:pStyle w:val="TableHeader"/>
              <w:rPr>
                <w:bCs/>
                <w:color w:val="auto"/>
                <w:szCs w:val="2"/>
              </w:rPr>
            </w:pPr>
            <w:r>
              <w:rPr>
                <w:bCs/>
                <w:color w:val="auto"/>
                <w:szCs w:val="2"/>
                <w:lang w:val="en-GB"/>
              </w:rPr>
              <w:t>Conversion or continuation of an Incorporated Cell</w:t>
            </w:r>
          </w:p>
        </w:tc>
      </w:tr>
      <w:tr w:rsidR="00CE6839" w:rsidRPr="004E568E" w14:paraId="75506BCE" w14:textId="77777777" w:rsidTr="00C21D1C">
        <w:trPr>
          <w:trHeight w:hRule="exact" w:val="713"/>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5B480764" w14:textId="2C9469D5" w:rsidR="00CE6839" w:rsidRPr="004E568E" w:rsidRDefault="003A430F" w:rsidP="003A430F">
            <w:pPr>
              <w:pStyle w:val="TableHeader"/>
              <w:tabs>
                <w:tab w:val="left" w:pos="540"/>
              </w:tabs>
              <w:ind w:left="484" w:hanging="484"/>
              <w:jc w:val="both"/>
              <w:rPr>
                <w:bCs/>
                <w:color w:val="auto"/>
                <w:szCs w:val="2"/>
              </w:rPr>
            </w:pPr>
            <w:r>
              <w:rPr>
                <w:bCs/>
                <w:color w:val="auto"/>
                <w:szCs w:val="2"/>
              </w:rPr>
              <w:t xml:space="preserve">Q11. </w:t>
            </w:r>
            <w:r w:rsidRPr="003A430F">
              <w:rPr>
                <w:bCs/>
                <w:color w:val="auto"/>
                <w:szCs w:val="2"/>
              </w:rPr>
              <w:t xml:space="preserve">Do you have any comments on the procedures set out for converting an Incorporated Cell into a standalone company under Regulation 10.2? </w:t>
            </w:r>
            <w:r w:rsidR="00DF7405">
              <w:rPr>
                <w:bCs/>
                <w:color w:val="auto"/>
                <w:szCs w:val="2"/>
              </w:rPr>
              <w:t xml:space="preserve"> </w:t>
            </w:r>
            <w:r w:rsidRPr="003A430F">
              <w:rPr>
                <w:bCs/>
                <w:color w:val="auto"/>
                <w:szCs w:val="2"/>
              </w:rPr>
              <w:t>If so, please provide details.</w:t>
            </w:r>
          </w:p>
        </w:tc>
      </w:tr>
      <w:tr w:rsidR="00CE6839" w:rsidRPr="004E568E" w14:paraId="62B65603"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2E236634" w14:textId="77777777" w:rsidR="00CE6839" w:rsidRPr="004E568E" w:rsidRDefault="00CE683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F149A88" w14:textId="77777777" w:rsidR="00CE6839" w:rsidRPr="004E568E" w:rsidRDefault="00CE683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74790B60" w14:textId="77777777" w:rsidR="00CE6839" w:rsidRPr="004E568E" w:rsidRDefault="00CE6839" w:rsidP="006F3A49">
            <w:pPr>
              <w:pStyle w:val="TableHeader"/>
              <w:rPr>
                <w:bCs/>
                <w:color w:val="auto"/>
                <w:szCs w:val="2"/>
              </w:rPr>
            </w:pPr>
          </w:p>
        </w:tc>
      </w:tr>
      <w:tr w:rsidR="00CE6839" w:rsidRPr="004E568E" w14:paraId="3A7824E3"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20A19B07" w14:textId="77777777" w:rsidR="00CE6839" w:rsidRPr="004E568E" w:rsidRDefault="00CE6839"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2C50C52" w14:textId="77777777" w:rsidR="00CE6839" w:rsidRPr="004E568E" w:rsidRDefault="00CE6839"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C768926" w14:textId="77777777" w:rsidR="00CE6839" w:rsidRPr="004E568E" w:rsidRDefault="00CE6839" w:rsidP="006F3A49">
            <w:pPr>
              <w:pStyle w:val="TableHeader"/>
              <w:rPr>
                <w:bCs/>
                <w:color w:val="auto"/>
                <w:szCs w:val="2"/>
              </w:rPr>
            </w:pPr>
          </w:p>
        </w:tc>
      </w:tr>
      <w:tr w:rsidR="003A430F" w:rsidRPr="004E568E" w14:paraId="6A5847B5"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57CE25A" w14:textId="77777777" w:rsidR="003A430F" w:rsidRPr="004E568E" w:rsidRDefault="003A430F"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3045650" w14:textId="77777777" w:rsidR="003A430F" w:rsidRPr="004E568E" w:rsidRDefault="003A430F"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286FF6B5" w14:textId="77777777" w:rsidR="003A430F" w:rsidRPr="004E568E" w:rsidRDefault="003A430F" w:rsidP="006F3A49">
            <w:pPr>
              <w:pStyle w:val="TableHeader"/>
              <w:rPr>
                <w:bCs/>
                <w:color w:val="auto"/>
                <w:szCs w:val="2"/>
              </w:rPr>
            </w:pPr>
          </w:p>
        </w:tc>
      </w:tr>
      <w:tr w:rsidR="00BC0A23" w:rsidRPr="004E568E" w14:paraId="0CE65F2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5EF52078" w14:textId="77777777" w:rsidR="00BC0A23" w:rsidRPr="004E568E" w:rsidRDefault="00BC0A23" w:rsidP="006F3A49">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CEB7FB2" w14:textId="77777777" w:rsidR="00BC0A23" w:rsidRPr="004E568E" w:rsidRDefault="00BC0A23" w:rsidP="006F3A49">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718EC347" w14:textId="77777777" w:rsidR="00BC0A23" w:rsidRPr="004E568E" w:rsidRDefault="00BC0A23" w:rsidP="006F3A49">
            <w:pPr>
              <w:pStyle w:val="TableHeader"/>
              <w:rPr>
                <w:bCs/>
                <w:color w:val="auto"/>
                <w:szCs w:val="2"/>
              </w:rPr>
            </w:pPr>
          </w:p>
        </w:tc>
      </w:tr>
      <w:tr w:rsidR="003A430F" w:rsidRPr="004E568E" w14:paraId="1FACAC90"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4F237E2F" w14:textId="6AC7A9A6" w:rsidR="003A430F" w:rsidRPr="004E568E" w:rsidRDefault="003A430F" w:rsidP="00FA65C0">
            <w:pPr>
              <w:pStyle w:val="TableHeader"/>
              <w:rPr>
                <w:bCs/>
                <w:color w:val="auto"/>
                <w:szCs w:val="2"/>
              </w:rPr>
            </w:pPr>
            <w:r>
              <w:rPr>
                <w:bCs/>
                <w:color w:val="auto"/>
                <w:szCs w:val="2"/>
                <w:lang w:val="en-GB"/>
              </w:rPr>
              <w:t>Transfer of an Incorporated Cell to another Variable Capital Company</w:t>
            </w:r>
          </w:p>
        </w:tc>
      </w:tr>
      <w:tr w:rsidR="003A430F" w:rsidRPr="004E568E" w14:paraId="5141D0EB" w14:textId="77777777" w:rsidTr="00C21D1C">
        <w:trPr>
          <w:trHeight w:hRule="exact" w:val="679"/>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0BA4F1FB" w14:textId="30F78058" w:rsidR="003A430F" w:rsidRPr="003A430F" w:rsidRDefault="003A430F" w:rsidP="003A430F">
            <w:pPr>
              <w:pStyle w:val="TableHeader"/>
              <w:tabs>
                <w:tab w:val="left" w:pos="540"/>
              </w:tabs>
              <w:ind w:left="599" w:hanging="567"/>
              <w:rPr>
                <w:bCs/>
                <w:color w:val="auto"/>
                <w:szCs w:val="2"/>
                <w:lang w:val="en-GB"/>
              </w:rPr>
            </w:pPr>
            <w:r>
              <w:rPr>
                <w:bCs/>
                <w:color w:val="auto"/>
                <w:szCs w:val="2"/>
              </w:rPr>
              <w:t xml:space="preserve">Q12.  </w:t>
            </w:r>
            <w:r w:rsidRPr="003A430F">
              <w:rPr>
                <w:bCs/>
                <w:color w:val="auto"/>
                <w:szCs w:val="2"/>
                <w:lang w:val="en-GB"/>
              </w:rPr>
              <w:t xml:space="preserve">Do you have any comments on the procedures set out for transferring an Incorporated Cell from one VCC to another VCC under </w:t>
            </w:r>
            <w:proofErr w:type="gramStart"/>
            <w:r w:rsidRPr="003A430F">
              <w:rPr>
                <w:bCs/>
                <w:color w:val="auto"/>
                <w:szCs w:val="2"/>
                <w:lang w:val="en-GB"/>
              </w:rPr>
              <w:t xml:space="preserve">Regulation </w:t>
            </w:r>
            <w:r>
              <w:rPr>
                <w:bCs/>
                <w:color w:val="auto"/>
                <w:szCs w:val="2"/>
                <w:lang w:val="en-GB"/>
              </w:rPr>
              <w:t xml:space="preserve"> </w:t>
            </w:r>
            <w:r w:rsidRPr="003A430F">
              <w:rPr>
                <w:bCs/>
                <w:color w:val="auto"/>
                <w:szCs w:val="2"/>
                <w:lang w:val="en-GB"/>
              </w:rPr>
              <w:t>10.3</w:t>
            </w:r>
            <w:proofErr w:type="gramEnd"/>
            <w:r w:rsidRPr="003A430F">
              <w:rPr>
                <w:bCs/>
                <w:color w:val="auto"/>
                <w:szCs w:val="2"/>
                <w:lang w:val="en-GB"/>
              </w:rPr>
              <w:t>? If so, please provide details.</w:t>
            </w:r>
          </w:p>
          <w:p w14:paraId="0A67F57F" w14:textId="51E3D4E4" w:rsidR="003A430F" w:rsidRPr="004E568E" w:rsidRDefault="003A430F" w:rsidP="003A430F">
            <w:pPr>
              <w:pStyle w:val="TableHeader"/>
              <w:rPr>
                <w:bCs/>
                <w:color w:val="auto"/>
                <w:szCs w:val="2"/>
              </w:rPr>
            </w:pPr>
          </w:p>
        </w:tc>
      </w:tr>
      <w:tr w:rsidR="003A430F" w:rsidRPr="004E568E" w14:paraId="36A12772"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84672E0" w14:textId="77777777" w:rsidR="003A430F" w:rsidRPr="004E568E" w:rsidRDefault="003A430F" w:rsidP="003A430F">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1B1B200" w14:textId="77777777" w:rsidR="003A430F" w:rsidRPr="004E568E" w:rsidRDefault="003A430F" w:rsidP="003A430F">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69066D6F" w14:textId="77777777" w:rsidR="003A430F" w:rsidRPr="004E568E" w:rsidRDefault="003A430F" w:rsidP="003A430F">
            <w:pPr>
              <w:pStyle w:val="TableHeader"/>
              <w:rPr>
                <w:bCs/>
                <w:color w:val="auto"/>
                <w:szCs w:val="2"/>
              </w:rPr>
            </w:pPr>
          </w:p>
        </w:tc>
      </w:tr>
      <w:tr w:rsidR="003A430F" w:rsidRPr="004E568E" w14:paraId="27D34FA3"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36B0484B" w14:textId="77777777" w:rsidR="003A430F" w:rsidRPr="004E568E" w:rsidRDefault="003A430F" w:rsidP="003A430F">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3D2459B" w14:textId="77777777" w:rsidR="003A430F" w:rsidRPr="004E568E" w:rsidRDefault="003A430F" w:rsidP="003A430F">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54C51569" w14:textId="77777777" w:rsidR="003A430F" w:rsidRPr="004E568E" w:rsidRDefault="003A430F" w:rsidP="003A430F">
            <w:pPr>
              <w:pStyle w:val="TableHeader"/>
              <w:rPr>
                <w:bCs/>
                <w:color w:val="auto"/>
                <w:szCs w:val="2"/>
              </w:rPr>
            </w:pPr>
          </w:p>
        </w:tc>
      </w:tr>
      <w:tr w:rsidR="003A430F" w:rsidRPr="004E568E" w14:paraId="072F324D"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211E1E93" w14:textId="77777777" w:rsidR="003A430F" w:rsidRPr="004E568E" w:rsidRDefault="003A430F" w:rsidP="003A430F">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1B87BC74" w14:textId="77777777" w:rsidR="003A430F" w:rsidRPr="004E568E" w:rsidRDefault="003A430F" w:rsidP="003A430F">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415579D2" w14:textId="77777777" w:rsidR="003A430F" w:rsidRPr="004E568E" w:rsidRDefault="003A430F" w:rsidP="003A430F">
            <w:pPr>
              <w:pStyle w:val="TableHeader"/>
              <w:rPr>
                <w:bCs/>
                <w:color w:val="auto"/>
                <w:szCs w:val="2"/>
              </w:rPr>
            </w:pPr>
          </w:p>
        </w:tc>
      </w:tr>
      <w:tr w:rsidR="003A430F" w:rsidRPr="004E568E" w14:paraId="34C16CAF" w14:textId="77777777" w:rsidTr="00C21D1C">
        <w:trPr>
          <w:trHeight w:hRule="exact" w:val="388"/>
        </w:trPr>
        <w:tc>
          <w:tcPr>
            <w:tcW w:w="15309"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6FFF6B39" w14:textId="7A4FEB56" w:rsidR="003A430F" w:rsidRPr="004E568E" w:rsidRDefault="003A430F" w:rsidP="00FA65C0">
            <w:pPr>
              <w:pStyle w:val="TableHeader"/>
              <w:rPr>
                <w:bCs/>
                <w:color w:val="auto"/>
                <w:szCs w:val="2"/>
              </w:rPr>
            </w:pPr>
            <w:r>
              <w:rPr>
                <w:bCs/>
                <w:color w:val="auto"/>
                <w:szCs w:val="2"/>
                <w:lang w:val="en-GB"/>
              </w:rPr>
              <w:lastRenderedPageBreak/>
              <w:t>Miscellaneous</w:t>
            </w:r>
          </w:p>
        </w:tc>
      </w:tr>
      <w:tr w:rsidR="003A430F" w:rsidRPr="004E568E" w14:paraId="13FB9D14" w14:textId="77777777" w:rsidTr="00C21D1C">
        <w:trPr>
          <w:trHeight w:hRule="exact" w:val="679"/>
        </w:trPr>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14:paraId="4DB537EB" w14:textId="77777777" w:rsidR="003A430F" w:rsidRPr="003A430F" w:rsidRDefault="003A430F" w:rsidP="003A430F">
            <w:pPr>
              <w:pStyle w:val="TableHeader"/>
              <w:tabs>
                <w:tab w:val="left" w:pos="540"/>
              </w:tabs>
              <w:ind w:left="599" w:hanging="567"/>
              <w:rPr>
                <w:bCs/>
                <w:color w:val="auto"/>
                <w:szCs w:val="2"/>
                <w:lang w:val="en-GB"/>
              </w:rPr>
            </w:pPr>
            <w:r>
              <w:rPr>
                <w:bCs/>
                <w:color w:val="auto"/>
                <w:szCs w:val="2"/>
              </w:rPr>
              <w:t xml:space="preserve">Q13.  </w:t>
            </w:r>
            <w:r w:rsidRPr="003A430F">
              <w:rPr>
                <w:bCs/>
                <w:color w:val="auto"/>
                <w:szCs w:val="2"/>
                <w:lang w:val="en-GB"/>
              </w:rPr>
              <w:t>Do you have any other comments or concerns related to the Proposed Regulations? I</w:t>
            </w:r>
            <w:proofErr w:type="spellStart"/>
            <w:r w:rsidRPr="003A430F">
              <w:rPr>
                <w:bCs/>
                <w:color w:val="auto"/>
                <w:szCs w:val="2"/>
              </w:rPr>
              <w:t>f</w:t>
            </w:r>
            <w:proofErr w:type="spellEnd"/>
            <w:r w:rsidRPr="003A430F">
              <w:rPr>
                <w:bCs/>
                <w:color w:val="auto"/>
                <w:szCs w:val="2"/>
              </w:rPr>
              <w:t xml:space="preserve"> so, what are they and how should they be addressed?</w:t>
            </w:r>
          </w:p>
          <w:p w14:paraId="52E41B64" w14:textId="3C2F08C4" w:rsidR="003A430F" w:rsidRPr="004E568E" w:rsidRDefault="003A430F" w:rsidP="003A430F">
            <w:pPr>
              <w:pStyle w:val="TableHeader"/>
              <w:tabs>
                <w:tab w:val="left" w:pos="540"/>
              </w:tabs>
              <w:ind w:left="599" w:hanging="567"/>
              <w:rPr>
                <w:bCs/>
                <w:color w:val="auto"/>
                <w:szCs w:val="2"/>
              </w:rPr>
            </w:pPr>
          </w:p>
        </w:tc>
      </w:tr>
      <w:tr w:rsidR="003A430F" w:rsidRPr="004E568E" w14:paraId="6C1534F1"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E99AC9B" w14:textId="77777777" w:rsidR="003A430F" w:rsidRPr="004E568E" w:rsidRDefault="003A430F" w:rsidP="003A430F">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087F8BE1" w14:textId="77777777" w:rsidR="003A430F" w:rsidRPr="004E568E" w:rsidRDefault="003A430F" w:rsidP="003A430F">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2025FADA" w14:textId="77777777" w:rsidR="003A430F" w:rsidRPr="004E568E" w:rsidRDefault="003A430F" w:rsidP="003A430F">
            <w:pPr>
              <w:pStyle w:val="TableHeader"/>
              <w:rPr>
                <w:bCs/>
                <w:color w:val="auto"/>
                <w:szCs w:val="2"/>
              </w:rPr>
            </w:pPr>
          </w:p>
        </w:tc>
      </w:tr>
      <w:tr w:rsidR="003A430F" w:rsidRPr="004E568E" w14:paraId="795FFEB4"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C61D73A" w14:textId="77777777" w:rsidR="003A430F" w:rsidRPr="004E568E" w:rsidRDefault="003A430F" w:rsidP="003A430F">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708A8B4F" w14:textId="77777777" w:rsidR="003A430F" w:rsidRPr="004E568E" w:rsidRDefault="003A430F" w:rsidP="003A430F">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0E0F3B3B" w14:textId="77777777" w:rsidR="003A430F" w:rsidRPr="004E568E" w:rsidRDefault="003A430F" w:rsidP="003A430F">
            <w:pPr>
              <w:pStyle w:val="TableHeader"/>
              <w:rPr>
                <w:bCs/>
                <w:color w:val="auto"/>
                <w:szCs w:val="2"/>
              </w:rPr>
            </w:pPr>
          </w:p>
        </w:tc>
      </w:tr>
      <w:tr w:rsidR="003A430F" w:rsidRPr="004E568E" w14:paraId="352145B0"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04864238" w14:textId="77777777" w:rsidR="003A430F" w:rsidRPr="004E568E" w:rsidRDefault="003A430F" w:rsidP="003A430F">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2DA700BD" w14:textId="77777777" w:rsidR="003A430F" w:rsidRPr="004E568E" w:rsidRDefault="003A430F" w:rsidP="003A430F">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7AD41472" w14:textId="77777777" w:rsidR="003A430F" w:rsidRPr="004E568E" w:rsidRDefault="003A430F" w:rsidP="003A430F">
            <w:pPr>
              <w:pStyle w:val="TableHeader"/>
              <w:rPr>
                <w:bCs/>
                <w:color w:val="auto"/>
                <w:szCs w:val="2"/>
              </w:rPr>
            </w:pPr>
          </w:p>
        </w:tc>
      </w:tr>
      <w:tr w:rsidR="00BC0A23" w:rsidRPr="004E568E" w14:paraId="73F9FFE2" w14:textId="77777777" w:rsidTr="00C21D1C">
        <w:trPr>
          <w:trHeight w:hRule="exact" w:val="388"/>
        </w:trPr>
        <w:tc>
          <w:tcPr>
            <w:tcW w:w="1631" w:type="dxa"/>
            <w:tcBorders>
              <w:top w:val="single" w:sz="4" w:space="0" w:color="auto"/>
              <w:left w:val="single" w:sz="4" w:space="0" w:color="auto"/>
              <w:bottom w:val="single" w:sz="4" w:space="0" w:color="auto"/>
              <w:right w:val="single" w:sz="4" w:space="0" w:color="auto"/>
            </w:tcBorders>
            <w:shd w:val="clear" w:color="auto" w:fill="auto"/>
          </w:tcPr>
          <w:p w14:paraId="157F91C9" w14:textId="77777777" w:rsidR="00BC0A23" w:rsidRPr="004E568E" w:rsidRDefault="00BC0A23" w:rsidP="003A430F">
            <w:pPr>
              <w:pStyle w:val="TableHeader"/>
              <w:rPr>
                <w:bCs/>
                <w:color w:val="auto"/>
                <w:szCs w:val="2"/>
              </w:rPr>
            </w:pPr>
          </w:p>
        </w:tc>
        <w:tc>
          <w:tcPr>
            <w:tcW w:w="6914" w:type="dxa"/>
            <w:tcBorders>
              <w:top w:val="single" w:sz="4" w:space="0" w:color="auto"/>
              <w:left w:val="single" w:sz="4" w:space="0" w:color="auto"/>
              <w:bottom w:val="single" w:sz="4" w:space="0" w:color="auto"/>
              <w:right w:val="single" w:sz="4" w:space="0" w:color="auto"/>
            </w:tcBorders>
            <w:shd w:val="clear" w:color="auto" w:fill="auto"/>
          </w:tcPr>
          <w:p w14:paraId="5A089B98" w14:textId="77777777" w:rsidR="00BC0A23" w:rsidRPr="004E568E" w:rsidRDefault="00BC0A23" w:rsidP="003A430F">
            <w:pPr>
              <w:pStyle w:val="TableHeader"/>
              <w:rPr>
                <w:bCs/>
                <w:color w:val="auto"/>
                <w:szCs w:val="2"/>
              </w:rPr>
            </w:pPr>
          </w:p>
        </w:tc>
        <w:tc>
          <w:tcPr>
            <w:tcW w:w="6764" w:type="dxa"/>
            <w:tcBorders>
              <w:top w:val="single" w:sz="4" w:space="0" w:color="auto"/>
              <w:left w:val="single" w:sz="4" w:space="0" w:color="auto"/>
              <w:bottom w:val="single" w:sz="4" w:space="0" w:color="auto"/>
              <w:right w:val="single" w:sz="4" w:space="0" w:color="auto"/>
            </w:tcBorders>
            <w:shd w:val="clear" w:color="auto" w:fill="auto"/>
          </w:tcPr>
          <w:p w14:paraId="17460351" w14:textId="77777777" w:rsidR="00BC0A23" w:rsidRPr="004E568E" w:rsidRDefault="00BC0A23" w:rsidP="003A430F">
            <w:pPr>
              <w:pStyle w:val="TableHeader"/>
              <w:rPr>
                <w:bCs/>
                <w:color w:val="auto"/>
                <w:szCs w:val="2"/>
              </w:rPr>
            </w:pPr>
          </w:p>
        </w:tc>
      </w:tr>
    </w:tbl>
    <w:p w14:paraId="26598409" w14:textId="77777777" w:rsidR="00F70F1E" w:rsidRDefault="00F70F1E" w:rsidP="00F70F1E">
      <w:pPr>
        <w:rPr>
          <w:lang w:val="en-GB"/>
        </w:rPr>
      </w:pPr>
    </w:p>
    <w:sectPr w:rsidR="00F70F1E" w:rsidSect="00D92753">
      <w:headerReference w:type="default" r:id="rId14"/>
      <w:footerReference w:type="even" r:id="rId15"/>
      <w:footerReference w:type="default" r:id="rId16"/>
      <w:footerReference w:type="first" r:id="rId17"/>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07A1" w14:textId="77777777" w:rsidR="00173640" w:rsidRDefault="00173640" w:rsidP="001072C8">
      <w:r>
        <w:separator/>
      </w:r>
    </w:p>
    <w:p w14:paraId="2E19A540" w14:textId="77777777" w:rsidR="00173640" w:rsidRDefault="00173640" w:rsidP="001072C8"/>
    <w:p w14:paraId="28E5422C" w14:textId="77777777" w:rsidR="00173640" w:rsidRDefault="00173640" w:rsidP="001072C8"/>
  </w:endnote>
  <w:endnote w:type="continuationSeparator" w:id="0">
    <w:p w14:paraId="6C565682" w14:textId="77777777" w:rsidR="00173640" w:rsidRDefault="00173640" w:rsidP="001072C8">
      <w:r>
        <w:continuationSeparator/>
      </w:r>
    </w:p>
    <w:p w14:paraId="4741A7BF" w14:textId="77777777" w:rsidR="00173640" w:rsidRDefault="00173640" w:rsidP="001072C8"/>
    <w:p w14:paraId="3CCD213B" w14:textId="77777777" w:rsidR="00173640" w:rsidRDefault="00173640"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DD28" w14:textId="77777777"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02712A">
      <w:rPr>
        <w:rStyle w:val="PageNumber"/>
        <w:noProof/>
      </w:rPr>
      <w:t>2</w:t>
    </w:r>
    <w:r>
      <w:rPr>
        <w:rStyle w:val="PageNumber"/>
      </w:rPr>
      <w:fldChar w:fldCharType="end"/>
    </w:r>
  </w:p>
  <w:p w14:paraId="244F03ED" w14:textId="3DEA5322" w:rsidR="00907366" w:rsidRPr="00F57773" w:rsidRDefault="00F57773" w:rsidP="00F57773">
    <w:pPr>
      <w:ind w:right="-122"/>
      <w:jc w:val="both"/>
      <w:rPr>
        <w:color w:val="17174F" w:themeColor="text1" w:themeTint="E6"/>
        <w:sz w:val="14"/>
        <w:szCs w:val="14"/>
      </w:rPr>
    </w:pPr>
    <w:r w:rsidRPr="00E137E6">
      <w:rPr>
        <w:color w:val="17174F" w:themeColor="text1" w:themeTint="E6"/>
        <w:sz w:val="14"/>
        <w:szCs w:val="14"/>
      </w:rPr>
      <w:t xml:space="preserve">Any personal data provided by you will be used, recorded and processed by us in accordance with the relevant statutory basis including the Data protection law </w:t>
    </w:r>
    <w:r w:rsidR="00A36004">
      <w:rPr>
        <w:color w:val="17174F" w:themeColor="text1" w:themeTint="E6"/>
        <w:sz w:val="14"/>
        <w:szCs w:val="14"/>
      </w:rPr>
      <w:t>2020</w:t>
    </w:r>
    <w:r w:rsidRPr="00E137E6">
      <w:rPr>
        <w:color w:val="17174F" w:themeColor="text1" w:themeTint="E6"/>
        <w:sz w:val="14"/>
        <w:szCs w:val="14"/>
      </w:rPr>
      <w:t>,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546F" w14:textId="77777777" w:rsidR="00907366" w:rsidRDefault="00907366" w:rsidP="00F5777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2712A">
      <w:rPr>
        <w:rStyle w:val="PageNumber"/>
        <w:noProof/>
      </w:rPr>
      <w:t>3</w:t>
    </w:r>
    <w:r>
      <w:rPr>
        <w:rStyle w:val="PageNumber"/>
      </w:rPr>
      <w:fldChar w:fldCharType="end"/>
    </w:r>
  </w:p>
  <w:p w14:paraId="42F0FAC5" w14:textId="77777777" w:rsidR="00907366" w:rsidRDefault="00907366" w:rsidP="00F57773">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C46B" w14:textId="77777777"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02712A">
      <w:rPr>
        <w:rStyle w:val="PageNumber"/>
        <w:noProof/>
      </w:rPr>
      <w:t>1</w:t>
    </w:r>
    <w:r>
      <w:rPr>
        <w:rStyle w:val="PageNumber"/>
      </w:rPr>
      <w:fldChar w:fldCharType="end"/>
    </w:r>
  </w:p>
  <w:p w14:paraId="3C6122A0" w14:textId="77777777" w:rsidR="00907366" w:rsidRPr="00E137E6" w:rsidRDefault="00022AE4" w:rsidP="00022AE4">
    <w:pPr>
      <w:ind w:right="-122"/>
      <w:jc w:val="both"/>
      <w:rPr>
        <w:color w:val="17174F" w:themeColor="text1" w:themeTint="E6"/>
        <w:sz w:val="14"/>
        <w:szCs w:val="14"/>
      </w:rPr>
    </w:pPr>
    <w:r w:rsidRPr="00022AE4">
      <w:rPr>
        <w:color w:val="17174F" w:themeColor="text1" w:themeTint="E6"/>
        <w:sz w:val="14"/>
        <w:szCs w:val="14"/>
      </w:rPr>
      <w:t>CONFIDENTIALITY NOTICE and DISCLAIMER – This document and any attachment are confidential and may be privileged or otherwise protected from disclosure and solely for the use of Dubai International Financial Centre Authority. No part of this document may be copied, reproduced, or transmitted in any form or by any means without written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89D8C" w14:textId="77777777" w:rsidR="00173640" w:rsidRDefault="00173640" w:rsidP="001072C8">
      <w:r>
        <w:separator/>
      </w:r>
    </w:p>
    <w:p w14:paraId="3370E9D6" w14:textId="77777777" w:rsidR="00173640" w:rsidRDefault="00173640" w:rsidP="001072C8"/>
    <w:p w14:paraId="0DC798C0" w14:textId="77777777" w:rsidR="00173640" w:rsidRDefault="00173640" w:rsidP="001072C8"/>
  </w:footnote>
  <w:footnote w:type="continuationSeparator" w:id="0">
    <w:p w14:paraId="396928F2" w14:textId="77777777" w:rsidR="00173640" w:rsidRDefault="00173640" w:rsidP="001072C8">
      <w:r>
        <w:continuationSeparator/>
      </w:r>
    </w:p>
    <w:p w14:paraId="12549C9D" w14:textId="77777777" w:rsidR="00173640" w:rsidRDefault="00173640" w:rsidP="001072C8"/>
    <w:p w14:paraId="5308FE90" w14:textId="77777777" w:rsidR="00173640" w:rsidRDefault="00173640"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4210" w14:textId="77777777" w:rsidR="00907366" w:rsidRPr="00D85F40" w:rsidRDefault="00907366" w:rsidP="001072C8">
    <w:pPr>
      <w:pStyle w:val="Header"/>
    </w:pPr>
    <w:r>
      <w:tab/>
    </w:r>
  </w:p>
  <w:p w14:paraId="6BB74304" w14:textId="77777777" w:rsidR="00907366" w:rsidRDefault="00907366" w:rsidP="001072C8"/>
  <w:p w14:paraId="7092DD2C" w14:textId="77777777" w:rsidR="00907366" w:rsidRDefault="00907366" w:rsidP="001072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001A1"/>
    <w:multiLevelType w:val="hybridMultilevel"/>
    <w:tmpl w:val="B6D6E8FC"/>
    <w:lvl w:ilvl="0" w:tplc="0B0410CC">
      <w:start w:val="1"/>
      <w:numFmt w:val="lowerLetter"/>
      <w:lvlText w:val="%1)"/>
      <w:lvlJc w:val="left"/>
      <w:pPr>
        <w:ind w:left="950" w:hanging="360"/>
      </w:pPr>
      <w:rPr>
        <w:rFonts w:hint="default"/>
      </w:rPr>
    </w:lvl>
    <w:lvl w:ilvl="1" w:tplc="4C090019" w:tentative="1">
      <w:start w:val="1"/>
      <w:numFmt w:val="lowerLetter"/>
      <w:lvlText w:val="%2."/>
      <w:lvlJc w:val="left"/>
      <w:pPr>
        <w:ind w:left="1670" w:hanging="360"/>
      </w:pPr>
    </w:lvl>
    <w:lvl w:ilvl="2" w:tplc="4C09001B" w:tentative="1">
      <w:start w:val="1"/>
      <w:numFmt w:val="lowerRoman"/>
      <w:lvlText w:val="%3."/>
      <w:lvlJc w:val="right"/>
      <w:pPr>
        <w:ind w:left="2390" w:hanging="180"/>
      </w:pPr>
    </w:lvl>
    <w:lvl w:ilvl="3" w:tplc="4C09000F" w:tentative="1">
      <w:start w:val="1"/>
      <w:numFmt w:val="decimal"/>
      <w:lvlText w:val="%4."/>
      <w:lvlJc w:val="left"/>
      <w:pPr>
        <w:ind w:left="3110" w:hanging="360"/>
      </w:pPr>
    </w:lvl>
    <w:lvl w:ilvl="4" w:tplc="4C090019" w:tentative="1">
      <w:start w:val="1"/>
      <w:numFmt w:val="lowerLetter"/>
      <w:lvlText w:val="%5."/>
      <w:lvlJc w:val="left"/>
      <w:pPr>
        <w:ind w:left="3830" w:hanging="360"/>
      </w:pPr>
    </w:lvl>
    <w:lvl w:ilvl="5" w:tplc="4C09001B" w:tentative="1">
      <w:start w:val="1"/>
      <w:numFmt w:val="lowerRoman"/>
      <w:lvlText w:val="%6."/>
      <w:lvlJc w:val="right"/>
      <w:pPr>
        <w:ind w:left="4550" w:hanging="180"/>
      </w:pPr>
    </w:lvl>
    <w:lvl w:ilvl="6" w:tplc="4C09000F" w:tentative="1">
      <w:start w:val="1"/>
      <w:numFmt w:val="decimal"/>
      <w:lvlText w:val="%7."/>
      <w:lvlJc w:val="left"/>
      <w:pPr>
        <w:ind w:left="5270" w:hanging="360"/>
      </w:pPr>
    </w:lvl>
    <w:lvl w:ilvl="7" w:tplc="4C090019" w:tentative="1">
      <w:start w:val="1"/>
      <w:numFmt w:val="lowerLetter"/>
      <w:lvlText w:val="%8."/>
      <w:lvlJc w:val="left"/>
      <w:pPr>
        <w:ind w:left="5990" w:hanging="360"/>
      </w:pPr>
    </w:lvl>
    <w:lvl w:ilvl="8" w:tplc="4C09001B" w:tentative="1">
      <w:start w:val="1"/>
      <w:numFmt w:val="lowerRoman"/>
      <w:lvlText w:val="%9."/>
      <w:lvlJc w:val="right"/>
      <w:pPr>
        <w:ind w:left="6710" w:hanging="180"/>
      </w:pPr>
    </w:lvl>
  </w:abstractNum>
  <w:num w:numId="1" w16cid:durableId="412241215">
    <w:abstractNumId w:val="11"/>
  </w:num>
  <w:num w:numId="2" w16cid:durableId="1561941442">
    <w:abstractNumId w:val="10"/>
  </w:num>
  <w:num w:numId="3" w16cid:durableId="1164855038">
    <w:abstractNumId w:val="8"/>
  </w:num>
  <w:num w:numId="4" w16cid:durableId="1429084260">
    <w:abstractNumId w:val="7"/>
  </w:num>
  <w:num w:numId="5" w16cid:durableId="1272054427">
    <w:abstractNumId w:val="6"/>
  </w:num>
  <w:num w:numId="6" w16cid:durableId="660039107">
    <w:abstractNumId w:val="5"/>
  </w:num>
  <w:num w:numId="7" w16cid:durableId="2071420298">
    <w:abstractNumId w:val="9"/>
  </w:num>
  <w:num w:numId="8" w16cid:durableId="418984756">
    <w:abstractNumId w:val="4"/>
  </w:num>
  <w:num w:numId="9" w16cid:durableId="302344843">
    <w:abstractNumId w:val="3"/>
  </w:num>
  <w:num w:numId="10" w16cid:durableId="489638810">
    <w:abstractNumId w:val="2"/>
  </w:num>
  <w:num w:numId="11" w16cid:durableId="1038046749">
    <w:abstractNumId w:val="1"/>
  </w:num>
  <w:num w:numId="12" w16cid:durableId="440612148">
    <w:abstractNumId w:val="0"/>
  </w:num>
  <w:num w:numId="13" w16cid:durableId="1597664247">
    <w:abstractNumId w:val="12"/>
  </w:num>
  <w:num w:numId="14" w16cid:durableId="824976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4C"/>
    <w:rsid w:val="00001A56"/>
    <w:rsid w:val="0001119D"/>
    <w:rsid w:val="00014BA9"/>
    <w:rsid w:val="00022AE4"/>
    <w:rsid w:val="00026619"/>
    <w:rsid w:val="00026B37"/>
    <w:rsid w:val="0002712A"/>
    <w:rsid w:val="00027A52"/>
    <w:rsid w:val="0003373F"/>
    <w:rsid w:val="00053332"/>
    <w:rsid w:val="000552A3"/>
    <w:rsid w:val="000612A7"/>
    <w:rsid w:val="00066161"/>
    <w:rsid w:val="00074C29"/>
    <w:rsid w:val="000834ED"/>
    <w:rsid w:val="000918D7"/>
    <w:rsid w:val="000949BC"/>
    <w:rsid w:val="000A13B6"/>
    <w:rsid w:val="000A2126"/>
    <w:rsid w:val="000B0C7D"/>
    <w:rsid w:val="000B6705"/>
    <w:rsid w:val="000C5BF2"/>
    <w:rsid w:val="000C5C06"/>
    <w:rsid w:val="000E1C39"/>
    <w:rsid w:val="000E213A"/>
    <w:rsid w:val="000E7B8B"/>
    <w:rsid w:val="000F4FA7"/>
    <w:rsid w:val="000F7BC0"/>
    <w:rsid w:val="001072C8"/>
    <w:rsid w:val="0011121D"/>
    <w:rsid w:val="001149EA"/>
    <w:rsid w:val="00116580"/>
    <w:rsid w:val="00135E47"/>
    <w:rsid w:val="0013709A"/>
    <w:rsid w:val="00144349"/>
    <w:rsid w:val="001515F8"/>
    <w:rsid w:val="001643A8"/>
    <w:rsid w:val="00172B8F"/>
    <w:rsid w:val="00173640"/>
    <w:rsid w:val="001806D0"/>
    <w:rsid w:val="001A1A8D"/>
    <w:rsid w:val="001C00F6"/>
    <w:rsid w:val="001C03BA"/>
    <w:rsid w:val="001C056F"/>
    <w:rsid w:val="001C1204"/>
    <w:rsid w:val="001D5395"/>
    <w:rsid w:val="001E4A42"/>
    <w:rsid w:val="00201E25"/>
    <w:rsid w:val="00205A9D"/>
    <w:rsid w:val="00223C6D"/>
    <w:rsid w:val="00223F57"/>
    <w:rsid w:val="00252D5C"/>
    <w:rsid w:val="00257D58"/>
    <w:rsid w:val="00261AB6"/>
    <w:rsid w:val="002701F9"/>
    <w:rsid w:val="00281E12"/>
    <w:rsid w:val="00295171"/>
    <w:rsid w:val="002A3642"/>
    <w:rsid w:val="002B14C2"/>
    <w:rsid w:val="002B4EA8"/>
    <w:rsid w:val="002C1AC4"/>
    <w:rsid w:val="002D56EE"/>
    <w:rsid w:val="002E25B1"/>
    <w:rsid w:val="003044C4"/>
    <w:rsid w:val="003078EE"/>
    <w:rsid w:val="00307AC3"/>
    <w:rsid w:val="00310308"/>
    <w:rsid w:val="00321DBD"/>
    <w:rsid w:val="00322F6F"/>
    <w:rsid w:val="003259F3"/>
    <w:rsid w:val="0036053A"/>
    <w:rsid w:val="00365A9B"/>
    <w:rsid w:val="0037004A"/>
    <w:rsid w:val="00383818"/>
    <w:rsid w:val="003A430F"/>
    <w:rsid w:val="003B2274"/>
    <w:rsid w:val="003B72BF"/>
    <w:rsid w:val="003C2D71"/>
    <w:rsid w:val="003C7656"/>
    <w:rsid w:val="003D5B9C"/>
    <w:rsid w:val="003D6C4A"/>
    <w:rsid w:val="003F4AC3"/>
    <w:rsid w:val="00401E5B"/>
    <w:rsid w:val="004126A4"/>
    <w:rsid w:val="00412E5E"/>
    <w:rsid w:val="00413A11"/>
    <w:rsid w:val="00423668"/>
    <w:rsid w:val="00427C2D"/>
    <w:rsid w:val="00430095"/>
    <w:rsid w:val="004355A0"/>
    <w:rsid w:val="00447CDD"/>
    <w:rsid w:val="00450EC9"/>
    <w:rsid w:val="00464C5B"/>
    <w:rsid w:val="004674FD"/>
    <w:rsid w:val="00470053"/>
    <w:rsid w:val="004761AB"/>
    <w:rsid w:val="00476B13"/>
    <w:rsid w:val="004845C3"/>
    <w:rsid w:val="00491F1F"/>
    <w:rsid w:val="00493CB7"/>
    <w:rsid w:val="004B1D6C"/>
    <w:rsid w:val="004C4C90"/>
    <w:rsid w:val="004C587D"/>
    <w:rsid w:val="004C682E"/>
    <w:rsid w:val="004D48C4"/>
    <w:rsid w:val="004E1091"/>
    <w:rsid w:val="004E568E"/>
    <w:rsid w:val="005171F7"/>
    <w:rsid w:val="00517A94"/>
    <w:rsid w:val="00520627"/>
    <w:rsid w:val="00524D6D"/>
    <w:rsid w:val="005321EB"/>
    <w:rsid w:val="00570C5B"/>
    <w:rsid w:val="0057778F"/>
    <w:rsid w:val="0059235C"/>
    <w:rsid w:val="00594989"/>
    <w:rsid w:val="005B02BC"/>
    <w:rsid w:val="005B2E7C"/>
    <w:rsid w:val="005B6F81"/>
    <w:rsid w:val="005D2468"/>
    <w:rsid w:val="005E0A8B"/>
    <w:rsid w:val="005E5DB2"/>
    <w:rsid w:val="005E5F39"/>
    <w:rsid w:val="006102BB"/>
    <w:rsid w:val="00614B32"/>
    <w:rsid w:val="006438E5"/>
    <w:rsid w:val="006442B4"/>
    <w:rsid w:val="00650BB4"/>
    <w:rsid w:val="00656AD2"/>
    <w:rsid w:val="00664EF4"/>
    <w:rsid w:val="00674A13"/>
    <w:rsid w:val="00684E9E"/>
    <w:rsid w:val="00692816"/>
    <w:rsid w:val="006C1471"/>
    <w:rsid w:val="006C3D5C"/>
    <w:rsid w:val="006C60ED"/>
    <w:rsid w:val="006D3D6E"/>
    <w:rsid w:val="006E1FB5"/>
    <w:rsid w:val="006E2642"/>
    <w:rsid w:val="006F3A49"/>
    <w:rsid w:val="006F783B"/>
    <w:rsid w:val="00703B8F"/>
    <w:rsid w:val="007054E8"/>
    <w:rsid w:val="00706E1E"/>
    <w:rsid w:val="00720EA9"/>
    <w:rsid w:val="00730F57"/>
    <w:rsid w:val="007314AE"/>
    <w:rsid w:val="00732F05"/>
    <w:rsid w:val="0073377E"/>
    <w:rsid w:val="00737D37"/>
    <w:rsid w:val="00746751"/>
    <w:rsid w:val="00766E6B"/>
    <w:rsid w:val="00772063"/>
    <w:rsid w:val="00780D7D"/>
    <w:rsid w:val="00781157"/>
    <w:rsid w:val="007839A2"/>
    <w:rsid w:val="00792A61"/>
    <w:rsid w:val="00796050"/>
    <w:rsid w:val="007A34B0"/>
    <w:rsid w:val="007A3A17"/>
    <w:rsid w:val="007A58E9"/>
    <w:rsid w:val="007B3715"/>
    <w:rsid w:val="007D6C7E"/>
    <w:rsid w:val="007E4299"/>
    <w:rsid w:val="0080338D"/>
    <w:rsid w:val="00807716"/>
    <w:rsid w:val="00810A5C"/>
    <w:rsid w:val="0086075C"/>
    <w:rsid w:val="00860FBB"/>
    <w:rsid w:val="0086118A"/>
    <w:rsid w:val="008619F9"/>
    <w:rsid w:val="008A2C3E"/>
    <w:rsid w:val="008C7E4A"/>
    <w:rsid w:val="009005D7"/>
    <w:rsid w:val="00907366"/>
    <w:rsid w:val="00940999"/>
    <w:rsid w:val="00941EA6"/>
    <w:rsid w:val="00960F82"/>
    <w:rsid w:val="00965A0F"/>
    <w:rsid w:val="0098357A"/>
    <w:rsid w:val="009903FA"/>
    <w:rsid w:val="009931D7"/>
    <w:rsid w:val="009A1C85"/>
    <w:rsid w:val="009B1E5E"/>
    <w:rsid w:val="009E3B6B"/>
    <w:rsid w:val="009F1748"/>
    <w:rsid w:val="009F236E"/>
    <w:rsid w:val="00A0417A"/>
    <w:rsid w:val="00A04A98"/>
    <w:rsid w:val="00A1381F"/>
    <w:rsid w:val="00A1709E"/>
    <w:rsid w:val="00A36004"/>
    <w:rsid w:val="00A36B15"/>
    <w:rsid w:val="00A37F8D"/>
    <w:rsid w:val="00A532F6"/>
    <w:rsid w:val="00A57117"/>
    <w:rsid w:val="00A615D8"/>
    <w:rsid w:val="00A8154D"/>
    <w:rsid w:val="00A927B6"/>
    <w:rsid w:val="00A9313C"/>
    <w:rsid w:val="00AA037F"/>
    <w:rsid w:val="00AA6A2B"/>
    <w:rsid w:val="00AC4F4C"/>
    <w:rsid w:val="00AD036C"/>
    <w:rsid w:val="00AD165B"/>
    <w:rsid w:val="00AE10DB"/>
    <w:rsid w:val="00AE2EEF"/>
    <w:rsid w:val="00AE4771"/>
    <w:rsid w:val="00AE5120"/>
    <w:rsid w:val="00AE63D9"/>
    <w:rsid w:val="00AF05EC"/>
    <w:rsid w:val="00AF41B5"/>
    <w:rsid w:val="00AF57EC"/>
    <w:rsid w:val="00B0291B"/>
    <w:rsid w:val="00B04A59"/>
    <w:rsid w:val="00B04D68"/>
    <w:rsid w:val="00B13876"/>
    <w:rsid w:val="00B37B83"/>
    <w:rsid w:val="00B462E3"/>
    <w:rsid w:val="00B61109"/>
    <w:rsid w:val="00B761FB"/>
    <w:rsid w:val="00B8683D"/>
    <w:rsid w:val="00BA0BD0"/>
    <w:rsid w:val="00BA7423"/>
    <w:rsid w:val="00BC0A23"/>
    <w:rsid w:val="00BD290C"/>
    <w:rsid w:val="00BE4A0B"/>
    <w:rsid w:val="00BF56DD"/>
    <w:rsid w:val="00C105AC"/>
    <w:rsid w:val="00C16641"/>
    <w:rsid w:val="00C21D1C"/>
    <w:rsid w:val="00C263E6"/>
    <w:rsid w:val="00C35676"/>
    <w:rsid w:val="00C42737"/>
    <w:rsid w:val="00C544BF"/>
    <w:rsid w:val="00C55D03"/>
    <w:rsid w:val="00C658BB"/>
    <w:rsid w:val="00C70806"/>
    <w:rsid w:val="00C8015F"/>
    <w:rsid w:val="00C81BAB"/>
    <w:rsid w:val="00CA006C"/>
    <w:rsid w:val="00CB2072"/>
    <w:rsid w:val="00CB78B4"/>
    <w:rsid w:val="00CC55B3"/>
    <w:rsid w:val="00CC734C"/>
    <w:rsid w:val="00CD6598"/>
    <w:rsid w:val="00CE071A"/>
    <w:rsid w:val="00CE365E"/>
    <w:rsid w:val="00CE60A5"/>
    <w:rsid w:val="00CE6839"/>
    <w:rsid w:val="00CF7970"/>
    <w:rsid w:val="00D056F8"/>
    <w:rsid w:val="00D06D73"/>
    <w:rsid w:val="00D13407"/>
    <w:rsid w:val="00D140F1"/>
    <w:rsid w:val="00D142D1"/>
    <w:rsid w:val="00D254BE"/>
    <w:rsid w:val="00D41215"/>
    <w:rsid w:val="00D42F0E"/>
    <w:rsid w:val="00D5043D"/>
    <w:rsid w:val="00D515BC"/>
    <w:rsid w:val="00D63449"/>
    <w:rsid w:val="00D67A53"/>
    <w:rsid w:val="00D72CFC"/>
    <w:rsid w:val="00D7438D"/>
    <w:rsid w:val="00D85F40"/>
    <w:rsid w:val="00D916EB"/>
    <w:rsid w:val="00D91B24"/>
    <w:rsid w:val="00D92753"/>
    <w:rsid w:val="00D930E3"/>
    <w:rsid w:val="00D971CF"/>
    <w:rsid w:val="00DA3A96"/>
    <w:rsid w:val="00DB252D"/>
    <w:rsid w:val="00DB2ED6"/>
    <w:rsid w:val="00DC6619"/>
    <w:rsid w:val="00DE03F1"/>
    <w:rsid w:val="00DE39DC"/>
    <w:rsid w:val="00DE3E02"/>
    <w:rsid w:val="00DF7405"/>
    <w:rsid w:val="00E055E8"/>
    <w:rsid w:val="00E123C4"/>
    <w:rsid w:val="00E137E6"/>
    <w:rsid w:val="00E26286"/>
    <w:rsid w:val="00E32D5F"/>
    <w:rsid w:val="00E44F1E"/>
    <w:rsid w:val="00E57572"/>
    <w:rsid w:val="00E73A86"/>
    <w:rsid w:val="00E7433D"/>
    <w:rsid w:val="00E7762B"/>
    <w:rsid w:val="00E84126"/>
    <w:rsid w:val="00E85E6B"/>
    <w:rsid w:val="00E90F2D"/>
    <w:rsid w:val="00EA3710"/>
    <w:rsid w:val="00EC0DEE"/>
    <w:rsid w:val="00EC4D9C"/>
    <w:rsid w:val="00EC5F78"/>
    <w:rsid w:val="00ED24A9"/>
    <w:rsid w:val="00EE5A15"/>
    <w:rsid w:val="00EE5A62"/>
    <w:rsid w:val="00EE5F18"/>
    <w:rsid w:val="00EF24F6"/>
    <w:rsid w:val="00EF5957"/>
    <w:rsid w:val="00EF61D5"/>
    <w:rsid w:val="00EF785A"/>
    <w:rsid w:val="00F0114B"/>
    <w:rsid w:val="00F12AD2"/>
    <w:rsid w:val="00F13FF0"/>
    <w:rsid w:val="00F3562C"/>
    <w:rsid w:val="00F36B40"/>
    <w:rsid w:val="00F57773"/>
    <w:rsid w:val="00F70F1E"/>
    <w:rsid w:val="00F81D88"/>
    <w:rsid w:val="00F91BCE"/>
    <w:rsid w:val="00F953FA"/>
    <w:rsid w:val="00F97E6B"/>
    <w:rsid w:val="00FA579B"/>
    <w:rsid w:val="00FA6591"/>
    <w:rsid w:val="00FB3D4C"/>
    <w:rsid w:val="00FC1E4D"/>
    <w:rsid w:val="00FE0318"/>
    <w:rsid w:val="00FE7EB8"/>
    <w:rsid w:val="00FF2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BC70A"/>
  <w15:docId w15:val="{78A3F244-CB2B-4D48-90FB-11080230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BA9"/>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unhideWhenUsed/>
    <w:rsid w:val="007B3715"/>
    <w:pPr>
      <w:spacing w:after="120"/>
    </w:pPr>
  </w:style>
  <w:style w:type="character" w:customStyle="1" w:styleId="BodyTextChar">
    <w:name w:val="Body Text Char"/>
    <w:basedOn w:val="DefaultParagraphFont"/>
    <w:link w:val="BodyText"/>
    <w:uiPriority w:val="99"/>
    <w:rsid w:val="007B3715"/>
    <w:rPr>
      <w:color w:val="10123C" w:themeColor="accent1"/>
      <w:sz w:val="18"/>
    </w:rPr>
  </w:style>
  <w:style w:type="paragraph" w:customStyle="1" w:styleId="4Heading2">
    <w:name w:val="4_Heading 2"/>
    <w:basedOn w:val="Normal"/>
    <w:qFormat/>
    <w:rsid w:val="00A36B15"/>
    <w:pPr>
      <w:spacing w:before="120" w:after="120"/>
    </w:pPr>
    <w:rPr>
      <w:rFonts w:ascii="Arial" w:eastAsia="Times New Roman" w:hAnsi="Arial" w:cs="Arial"/>
      <w:color w:val="FFFFFF" w:themeColor="background1"/>
      <w:sz w:val="2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DIFC_PPT_template">
  <a:themeElements>
    <a:clrScheme name="Custom 1">
      <a:dk1>
        <a:srgbClr val="0D0D2D"/>
      </a:dk1>
      <a:lt1>
        <a:sysClr val="window" lastClr="FFFFFF"/>
      </a:lt1>
      <a:dk2>
        <a:srgbClr val="96989A"/>
      </a:dk2>
      <a:lt2>
        <a:srgbClr val="191C5E"/>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6c8e121-e4b9-4951-a880-9bdd31800aba" origin="userSelected">
  <element uid="f74afad7-bac5-41de-a833-5bd2fb3e2728"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11f214-fb58-41cf-bacc-c04525556e93">
      <Terms xmlns="http://schemas.microsoft.com/office/infopath/2007/PartnerControls"/>
    </lcf76f155ced4ddcb4097134ff3c332f>
    <TaxCatchAll xmlns="e77bf7f7-857d-44eb-8b39-74675e03fc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DC847AC4579D4B97F816D7242B3D69" ma:contentTypeVersion="12" ma:contentTypeDescription="Create a new document." ma:contentTypeScope="" ma:versionID="5aa2dbcaf1537df4ade14ebf2373f920">
  <xsd:schema xmlns:xsd="http://www.w3.org/2001/XMLSchema" xmlns:xs="http://www.w3.org/2001/XMLSchema" xmlns:p="http://schemas.microsoft.com/office/2006/metadata/properties" xmlns:ns2="5e11f214-fb58-41cf-bacc-c04525556e93" xmlns:ns3="e77bf7f7-857d-44eb-8b39-74675e03fcbf" targetNamespace="http://schemas.microsoft.com/office/2006/metadata/properties" ma:root="true" ma:fieldsID="c81d7aa743cff8f6e38909418e36ece8" ns2:_="" ns3:_="">
    <xsd:import namespace="5e11f214-fb58-41cf-bacc-c04525556e93"/>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1f214-fb58-41cf-bacc-c0452555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5dea5d-4427-42f0-aad9-a87a36c736c2}"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551B4-BF2B-4507-9B39-0EB380C1D5AA}">
  <ds:schemaRefs>
    <ds:schemaRef ds:uri="http://schemas.openxmlformats.org/officeDocument/2006/bibliography"/>
  </ds:schemaRefs>
</ds:datastoreItem>
</file>

<file path=customXml/itemProps2.xml><?xml version="1.0" encoding="utf-8"?>
<ds:datastoreItem xmlns:ds="http://schemas.openxmlformats.org/officeDocument/2006/customXml" ds:itemID="{DBCEEC32-1F54-47C1-B89E-905C29D8F2C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7DD1873-41BB-4968-838F-22C766785CB1}">
  <ds:schemaRefs>
    <ds:schemaRef ds:uri="http://schemas.microsoft.com/office/2006/metadata/properties"/>
    <ds:schemaRef ds:uri="http://schemas.microsoft.com/office/infopath/2007/PartnerControls"/>
    <ds:schemaRef ds:uri="5e11f214-fb58-41cf-bacc-c04525556e93"/>
    <ds:schemaRef ds:uri="e77bf7f7-857d-44eb-8b39-74675e03fcbf"/>
  </ds:schemaRefs>
</ds:datastoreItem>
</file>

<file path=customXml/itemProps4.xml><?xml version="1.0" encoding="utf-8"?>
<ds:datastoreItem xmlns:ds="http://schemas.openxmlformats.org/officeDocument/2006/customXml" ds:itemID="{6AB27393-E410-4ACD-909D-0E4729527A58}">
  <ds:schemaRefs>
    <ds:schemaRef ds:uri="http://schemas.microsoft.com/sharepoint/v3/contenttype/forms"/>
  </ds:schemaRefs>
</ds:datastoreItem>
</file>

<file path=customXml/itemProps5.xml><?xml version="1.0" encoding="utf-8"?>
<ds:datastoreItem xmlns:ds="http://schemas.openxmlformats.org/officeDocument/2006/customXml" ds:itemID="{D5FC881A-F070-4FEA-9AD1-99A5A8155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1f214-fb58-41cf-bacc-c04525556e93"/>
    <ds:schemaRef ds:uri="e77bf7f7-857d-44eb-8b39-74675e03f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680</Words>
  <Characters>3880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Aisha Al Khamiri</dc:creator>
  <cp:lastModifiedBy>Katherine Nixon</cp:lastModifiedBy>
  <cp:revision>2</cp:revision>
  <cp:lastPrinted>2018-01-29T07:53:00Z</cp:lastPrinted>
  <dcterms:created xsi:type="dcterms:W3CDTF">2025-06-24T06:08:00Z</dcterms:created>
  <dcterms:modified xsi:type="dcterms:W3CDTF">2025-06-24T06:08:00Z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ea908e87-270f-4f0c-b6f7-f25175fb2401</vt:lpwstr>
  </property>
  <property fmtid="{D5CDD505-2E9C-101B-9397-08002B2CF9AE}" pid="3" name="docIndexRef">
    <vt:lpwstr>9cc9a297-e4bd-482d-8c6e-a4f267cc2521</vt:lpwstr>
  </property>
  <property fmtid="{D5CDD505-2E9C-101B-9397-08002B2CF9AE}" pid="4" name="bjSaver">
    <vt:lpwstr>vwo4XY6MZihPOZCcW4p/caJoCkaL8fiz</vt:lpwstr>
  </property>
  <property fmtid="{D5CDD505-2E9C-101B-9397-08002B2CF9AE}" pid="5" name="Classification">
    <vt:lpwstr>PUBLIC</vt:lpwstr>
  </property>
  <property fmtid="{D5CDD505-2E9C-101B-9397-08002B2CF9AE}" pid="6" name="bjDocumentSecurityLabel">
    <vt:lpwstr>Public</vt:lpwstr>
  </property>
  <property fmtid="{D5CDD505-2E9C-101B-9397-08002B2CF9AE}" pid="7" name="BJ-Classification">
    <vt:lpwstr>Public</vt:lpwstr>
  </property>
  <property fmtid="{D5CDD505-2E9C-101B-9397-08002B2CF9AE}" pid="8" name="bjDocumentLabelXML">
    <vt:lpwstr>&lt;?xml version="1.0" encoding="us-ascii"?&gt;&lt;sisl xmlns:xsd="http://www.w3.org/2001/XMLSchema" xmlns:xsi="http://www.w3.org/2001/XMLSchema-instance" sislVersion="0" policy="46c8e121-e4b9-4951-a880-9bdd31800aba" origin="userSelected" xmlns="http://www.boldonj</vt:lpwstr>
  </property>
  <property fmtid="{D5CDD505-2E9C-101B-9397-08002B2CF9AE}" pid="9" name="bjDocumentLabelXML-0">
    <vt:lpwstr>ames.com/2008/01/sie/internal/label"&gt;&lt;element uid="f74afad7-bac5-41de-a833-5bd2fb3e2728" value="" /&gt;&lt;/sisl&gt;</vt:lpwstr>
  </property>
  <property fmtid="{D5CDD505-2E9C-101B-9397-08002B2CF9AE}" pid="10" name="MSIP_Label_09dd96bb-ffa3-4be7-a1e9-96cadbf868fd_Enabled">
    <vt:lpwstr>true</vt:lpwstr>
  </property>
  <property fmtid="{D5CDD505-2E9C-101B-9397-08002B2CF9AE}" pid="11" name="MSIP_Label_09dd96bb-ffa3-4be7-a1e9-96cadbf868fd_SetDate">
    <vt:lpwstr>2024-08-29T00:07:09Z</vt:lpwstr>
  </property>
  <property fmtid="{D5CDD505-2E9C-101B-9397-08002B2CF9AE}" pid="12" name="MSIP_Label_09dd96bb-ffa3-4be7-a1e9-96cadbf868fd_Method">
    <vt:lpwstr>Standard</vt:lpwstr>
  </property>
  <property fmtid="{D5CDD505-2E9C-101B-9397-08002B2CF9AE}" pid="13" name="MSIP_Label_09dd96bb-ffa3-4be7-a1e9-96cadbf868fd_Name">
    <vt:lpwstr>CONFIDENTIAL</vt:lpwstr>
  </property>
  <property fmtid="{D5CDD505-2E9C-101B-9397-08002B2CF9AE}" pid="14" name="MSIP_Label_09dd96bb-ffa3-4be7-a1e9-96cadbf868fd_SiteId">
    <vt:lpwstr>abc805d7-9852-4fa2-af27-5f3c9114221c</vt:lpwstr>
  </property>
  <property fmtid="{D5CDD505-2E9C-101B-9397-08002B2CF9AE}" pid="15" name="MSIP_Label_09dd96bb-ffa3-4be7-a1e9-96cadbf868fd_ActionId">
    <vt:lpwstr>4f13aa6d-509a-45be-9ebd-eb59daac2fe0</vt:lpwstr>
  </property>
  <property fmtid="{D5CDD505-2E9C-101B-9397-08002B2CF9AE}" pid="16" name="MSIP_Label_09dd96bb-ffa3-4be7-a1e9-96cadbf868fd_ContentBits">
    <vt:lpwstr>0</vt:lpwstr>
  </property>
  <property fmtid="{D5CDD505-2E9C-101B-9397-08002B2CF9AE}" pid="17" name="ContentTypeId">
    <vt:lpwstr>0x01010087DC847AC4579D4B97F816D7242B3D69</vt:lpwstr>
  </property>
  <property fmtid="{D5CDD505-2E9C-101B-9397-08002B2CF9AE}" pid="18" name="MediaServiceImageTags">
    <vt:lpwstr/>
  </property>
</Properties>
</file>