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FE88" w14:textId="08D4A0FD" w:rsidR="00771375" w:rsidRPr="000D5349" w:rsidRDefault="000D5349" w:rsidP="000D5349">
      <w:pPr>
        <w:jc w:val="center"/>
        <w:rPr>
          <w:b/>
          <w:bCs/>
        </w:rPr>
      </w:pPr>
      <w:r w:rsidRPr="000D5349">
        <w:rPr>
          <w:b/>
          <w:bCs/>
        </w:rPr>
        <w:t>UVA ENCOMPASS HEALTH REHABILITATION HOSPITAL</w:t>
      </w:r>
    </w:p>
    <w:p w14:paraId="4BBE2F87" w14:textId="68F5C1D2" w:rsidR="000D5349" w:rsidRDefault="000D5349" w:rsidP="000D5349">
      <w:pPr>
        <w:jc w:val="center"/>
        <w:rPr>
          <w:b/>
          <w:bCs/>
        </w:rPr>
      </w:pPr>
      <w:r w:rsidRPr="000D5349">
        <w:rPr>
          <w:b/>
          <w:bCs/>
        </w:rPr>
        <w:t>2026 IMPLEMENTATION PLAN</w:t>
      </w:r>
    </w:p>
    <w:p w14:paraId="2AE20A33" w14:textId="77777777" w:rsidR="000D5349" w:rsidRDefault="000D5349"/>
    <w:tbl>
      <w:tblPr>
        <w:tblStyle w:val="TableGrid"/>
        <w:tblW w:w="0" w:type="auto"/>
        <w:tblLook w:val="04A0" w:firstRow="1" w:lastRow="0" w:firstColumn="1" w:lastColumn="0" w:noHBand="0" w:noVBand="1"/>
      </w:tblPr>
      <w:tblGrid>
        <w:gridCol w:w="2164"/>
        <w:gridCol w:w="2288"/>
        <w:gridCol w:w="2157"/>
        <w:gridCol w:w="2741"/>
      </w:tblGrid>
      <w:tr w:rsidR="000D5349" w14:paraId="2D2590C2" w14:textId="77777777" w:rsidTr="000D5349">
        <w:tc>
          <w:tcPr>
            <w:tcW w:w="2337" w:type="dxa"/>
          </w:tcPr>
          <w:p w14:paraId="17EBB49D" w14:textId="410CE8FC" w:rsidR="00B26D55" w:rsidRDefault="00B26D55">
            <w:pPr>
              <w:rPr>
                <w:b/>
                <w:bCs/>
              </w:rPr>
            </w:pPr>
            <w:r>
              <w:rPr>
                <w:b/>
                <w:bCs/>
              </w:rPr>
              <w:t>MAPP2Health 2025 CHNA</w:t>
            </w:r>
          </w:p>
          <w:p w14:paraId="177A87C8" w14:textId="1692C712" w:rsidR="000D5349" w:rsidRPr="00B26D55" w:rsidRDefault="000D5349">
            <w:pPr>
              <w:rPr>
                <w:b/>
                <w:bCs/>
              </w:rPr>
            </w:pPr>
            <w:r w:rsidRPr="00B26D55">
              <w:rPr>
                <w:b/>
                <w:bCs/>
              </w:rPr>
              <w:t>Priorities</w:t>
            </w:r>
          </w:p>
        </w:tc>
        <w:tc>
          <w:tcPr>
            <w:tcW w:w="2337" w:type="dxa"/>
          </w:tcPr>
          <w:p w14:paraId="52B7CF55" w14:textId="5C3DB7C7" w:rsidR="000D5349" w:rsidRPr="00B26D55" w:rsidRDefault="000D5349">
            <w:pPr>
              <w:rPr>
                <w:b/>
                <w:bCs/>
              </w:rPr>
            </w:pPr>
            <w:r w:rsidRPr="00B26D55">
              <w:rPr>
                <w:b/>
                <w:bCs/>
              </w:rPr>
              <w:t>Implementation Strategies</w:t>
            </w:r>
          </w:p>
        </w:tc>
        <w:tc>
          <w:tcPr>
            <w:tcW w:w="2338" w:type="dxa"/>
          </w:tcPr>
          <w:p w14:paraId="7099DB40" w14:textId="59E9EE81" w:rsidR="000D5349" w:rsidRPr="00B26D55" w:rsidRDefault="000D5349">
            <w:pPr>
              <w:rPr>
                <w:b/>
                <w:bCs/>
              </w:rPr>
            </w:pPr>
            <w:r w:rsidRPr="00B26D55">
              <w:rPr>
                <w:b/>
                <w:bCs/>
              </w:rPr>
              <w:t>Performance Measures</w:t>
            </w:r>
          </w:p>
        </w:tc>
        <w:tc>
          <w:tcPr>
            <w:tcW w:w="2338" w:type="dxa"/>
          </w:tcPr>
          <w:p w14:paraId="597D0B41" w14:textId="74F93AF6" w:rsidR="000D5349" w:rsidRPr="00B26D55" w:rsidRDefault="000D5349">
            <w:pPr>
              <w:rPr>
                <w:b/>
                <w:bCs/>
              </w:rPr>
            </w:pPr>
            <w:r w:rsidRPr="00B26D55">
              <w:rPr>
                <w:b/>
                <w:bCs/>
              </w:rPr>
              <w:t>Collaborators/Partners</w:t>
            </w:r>
          </w:p>
        </w:tc>
      </w:tr>
      <w:tr w:rsidR="000D5349" w14:paraId="494037C8" w14:textId="77777777" w:rsidTr="000D5349">
        <w:tc>
          <w:tcPr>
            <w:tcW w:w="2337" w:type="dxa"/>
          </w:tcPr>
          <w:p w14:paraId="297C0E88" w14:textId="6308C903" w:rsidR="000D5349" w:rsidRDefault="008C33FD">
            <w:r>
              <w:t>Mental Health</w:t>
            </w:r>
          </w:p>
          <w:p w14:paraId="7E20C125" w14:textId="77777777" w:rsidR="000D5349" w:rsidRDefault="000D5349"/>
          <w:p w14:paraId="76228EFA" w14:textId="77777777" w:rsidR="008C33FD" w:rsidRDefault="008C33FD"/>
          <w:p w14:paraId="2E2FE5EF" w14:textId="77777777" w:rsidR="008C33FD" w:rsidRDefault="008C33FD"/>
          <w:p w14:paraId="2CD91BAB" w14:textId="77777777" w:rsidR="008C33FD" w:rsidRDefault="008C33FD"/>
          <w:p w14:paraId="5036B1AE" w14:textId="77777777" w:rsidR="008C33FD" w:rsidRDefault="008C33FD"/>
          <w:p w14:paraId="2AAB4EA3" w14:textId="77777777" w:rsidR="008C33FD" w:rsidRDefault="008C33FD"/>
          <w:p w14:paraId="28995206" w14:textId="77777777" w:rsidR="008C33FD" w:rsidRDefault="008C33FD"/>
          <w:p w14:paraId="346FED6D" w14:textId="77777777" w:rsidR="008C33FD" w:rsidRDefault="008C33FD"/>
          <w:p w14:paraId="6B327ADB" w14:textId="77777777" w:rsidR="008C33FD" w:rsidRDefault="008C33FD"/>
          <w:p w14:paraId="3B2451A0" w14:textId="77777777" w:rsidR="008C33FD" w:rsidRDefault="008C33FD"/>
          <w:p w14:paraId="1A46D729" w14:textId="77777777" w:rsidR="008C33FD" w:rsidRDefault="008C33FD"/>
          <w:p w14:paraId="14859360" w14:textId="77777777" w:rsidR="008C33FD" w:rsidRDefault="008C33FD"/>
          <w:p w14:paraId="6365974B" w14:textId="77777777" w:rsidR="008C33FD" w:rsidRDefault="008C33FD"/>
          <w:p w14:paraId="3C78B0A5" w14:textId="77777777" w:rsidR="008C33FD" w:rsidRDefault="008C33FD"/>
          <w:p w14:paraId="6F91EA1F" w14:textId="77777777" w:rsidR="008C33FD" w:rsidRDefault="008C33FD"/>
          <w:p w14:paraId="744D8088" w14:textId="77777777" w:rsidR="008C33FD" w:rsidRDefault="008C33FD"/>
          <w:p w14:paraId="721B19F7" w14:textId="77777777" w:rsidR="008C33FD" w:rsidRDefault="008C33FD"/>
          <w:p w14:paraId="28D6F728" w14:textId="77777777" w:rsidR="008C33FD" w:rsidRDefault="008C33FD"/>
          <w:p w14:paraId="47FEB986" w14:textId="77777777" w:rsidR="008C33FD" w:rsidRDefault="008C33FD"/>
          <w:p w14:paraId="76FF4B7A" w14:textId="77777777" w:rsidR="008C33FD" w:rsidRDefault="008C33FD"/>
          <w:p w14:paraId="74B4B764" w14:textId="77777777" w:rsidR="008C33FD" w:rsidRDefault="008C33FD"/>
          <w:p w14:paraId="30B299BD" w14:textId="77777777" w:rsidR="008C33FD" w:rsidRDefault="008C33FD"/>
          <w:p w14:paraId="534AC2FE" w14:textId="77777777" w:rsidR="008C33FD" w:rsidRDefault="008C33FD"/>
          <w:p w14:paraId="5F32E9F9" w14:textId="77777777" w:rsidR="008C33FD" w:rsidRDefault="008C33FD"/>
          <w:p w14:paraId="1EF23596" w14:textId="77777777" w:rsidR="008C33FD" w:rsidRDefault="008C33FD"/>
          <w:p w14:paraId="5D017791" w14:textId="77777777" w:rsidR="008C33FD" w:rsidRDefault="008C33FD"/>
          <w:p w14:paraId="006421B1" w14:textId="77777777" w:rsidR="008C33FD" w:rsidRDefault="008C33FD"/>
          <w:p w14:paraId="26B86C80" w14:textId="77777777" w:rsidR="008C33FD" w:rsidRDefault="008C33FD"/>
          <w:p w14:paraId="56C3AE50" w14:textId="77777777" w:rsidR="008C33FD" w:rsidRDefault="008C33FD"/>
          <w:p w14:paraId="107F58A3" w14:textId="77777777" w:rsidR="008C33FD" w:rsidRDefault="008C33FD"/>
          <w:p w14:paraId="1E296401" w14:textId="77777777" w:rsidR="008C33FD" w:rsidRDefault="008C33FD"/>
          <w:p w14:paraId="7F042745" w14:textId="77777777" w:rsidR="008C33FD" w:rsidRDefault="008C33FD"/>
          <w:p w14:paraId="179BA760" w14:textId="77777777" w:rsidR="000D5349" w:rsidRDefault="000D5349">
            <w:r>
              <w:t>Healthy Eating</w:t>
            </w:r>
          </w:p>
          <w:p w14:paraId="7BC074A3" w14:textId="77777777" w:rsidR="008C33FD" w:rsidRDefault="008C33FD"/>
          <w:p w14:paraId="4E21AFF8" w14:textId="77777777" w:rsidR="008C33FD" w:rsidRDefault="008C33FD"/>
          <w:p w14:paraId="2EA45552" w14:textId="77777777" w:rsidR="008C33FD" w:rsidRDefault="008C33FD"/>
          <w:p w14:paraId="0724557F" w14:textId="77777777" w:rsidR="008C33FD" w:rsidRDefault="008C33FD"/>
          <w:p w14:paraId="06757089" w14:textId="77777777" w:rsidR="008C33FD" w:rsidRDefault="008C33FD"/>
          <w:p w14:paraId="3C22D24C" w14:textId="77777777" w:rsidR="008C33FD" w:rsidRDefault="008C33FD"/>
          <w:p w14:paraId="282703C2" w14:textId="77777777" w:rsidR="008C33FD" w:rsidRDefault="008C33FD"/>
          <w:p w14:paraId="420ED94A" w14:textId="77777777" w:rsidR="008C33FD" w:rsidRDefault="008C33FD"/>
          <w:p w14:paraId="3B079F80" w14:textId="77777777" w:rsidR="008C33FD" w:rsidRDefault="008C33FD"/>
          <w:p w14:paraId="5145DA89" w14:textId="77777777" w:rsidR="008C33FD" w:rsidRDefault="008C33FD"/>
          <w:p w14:paraId="0EC1485F" w14:textId="77777777" w:rsidR="003D5A5C" w:rsidRDefault="003D5A5C"/>
          <w:p w14:paraId="746D4A6C" w14:textId="77777777" w:rsidR="003D5A5C" w:rsidRDefault="003D5A5C"/>
          <w:p w14:paraId="1881CEAE" w14:textId="77777777" w:rsidR="003D5A5C" w:rsidRDefault="003D5A5C"/>
          <w:p w14:paraId="0A671652" w14:textId="1FCD0D3E" w:rsidR="000D5349" w:rsidRDefault="008C33FD">
            <w:r>
              <w:t>Chronic Conditions</w:t>
            </w:r>
            <w:r w:rsidR="000D5349">
              <w:t xml:space="preserve"> </w:t>
            </w:r>
          </w:p>
        </w:tc>
        <w:tc>
          <w:tcPr>
            <w:tcW w:w="2337" w:type="dxa"/>
          </w:tcPr>
          <w:p w14:paraId="3F33EF71" w14:textId="77777777" w:rsidR="008C33FD" w:rsidRPr="008C33FD" w:rsidRDefault="008C33FD" w:rsidP="008C33FD">
            <w:r w:rsidRPr="008C33FD">
              <w:lastRenderedPageBreak/>
              <w:t xml:space="preserve">Encourage improved physician screening/referrals for patients with mental health disorders and support the improvement of access to mental health support services in the community </w:t>
            </w:r>
          </w:p>
          <w:p w14:paraId="65A043CD" w14:textId="77777777" w:rsidR="008C33FD" w:rsidRDefault="008C33FD" w:rsidP="008C33FD"/>
          <w:p w14:paraId="7B4ABB21" w14:textId="323D6D85" w:rsidR="008C33FD" w:rsidRDefault="008C33FD" w:rsidP="008C33FD">
            <w:r>
              <w:t xml:space="preserve">On admission and discharge, 100% of patients are screened through a PHQ9 tool.  Outcome is reported to </w:t>
            </w:r>
            <w:proofErr w:type="gramStart"/>
            <w:r>
              <w:t>physician</w:t>
            </w:r>
            <w:proofErr w:type="gramEnd"/>
            <w:r>
              <w:t xml:space="preserve"> if exceeds threshold.</w:t>
            </w:r>
          </w:p>
          <w:p w14:paraId="70458562" w14:textId="77777777" w:rsidR="008C33FD" w:rsidRDefault="008C33FD" w:rsidP="008C33FD"/>
          <w:p w14:paraId="4675A87A" w14:textId="55EFA52B" w:rsidR="008C33FD" w:rsidRPr="008C33FD" w:rsidRDefault="008C33FD" w:rsidP="008C33FD">
            <w:r w:rsidRPr="008C33FD">
              <w:t xml:space="preserve">Increase the number of days that UVA Encompass Health contracts with an external services provider to perform on-site mental health counseling.  </w:t>
            </w:r>
          </w:p>
          <w:p w14:paraId="4E4E5537" w14:textId="77777777" w:rsidR="008C33FD" w:rsidRDefault="008C33FD"/>
          <w:p w14:paraId="61658E4C" w14:textId="77777777" w:rsidR="000D5349" w:rsidRDefault="008C33FD">
            <w:r>
              <w:t xml:space="preserve">Patients are screened on admission for </w:t>
            </w:r>
            <w:r>
              <w:lastRenderedPageBreak/>
              <w:t xml:space="preserve">malnutrition.  Risk factors for nutrition are charted (including wounds, tube feeding, BMI 30 or greater, weight loss) and flagged to Encompass health dietician.  </w:t>
            </w:r>
          </w:p>
          <w:p w14:paraId="75CB180D" w14:textId="77777777" w:rsidR="003D5A5C" w:rsidRDefault="003D5A5C"/>
          <w:p w14:paraId="7BB28389" w14:textId="34FF253D" w:rsidR="003D5A5C" w:rsidRDefault="003D5A5C">
            <w:r>
              <w:t>Screen patients throughout hospitalization for chronic conditions or co-morbidities impacting overall health and potentially contributing to readmission</w:t>
            </w:r>
          </w:p>
          <w:p w14:paraId="2FCFFCB1" w14:textId="2781CA00" w:rsidR="003D5A5C" w:rsidRDefault="003D5A5C"/>
        </w:tc>
        <w:tc>
          <w:tcPr>
            <w:tcW w:w="2338" w:type="dxa"/>
          </w:tcPr>
          <w:p w14:paraId="28AEF7F2" w14:textId="77777777" w:rsidR="008C33FD" w:rsidRPr="008C33FD" w:rsidRDefault="008C33FD" w:rsidP="008C33FD">
            <w:r w:rsidRPr="008C33FD">
              <w:lastRenderedPageBreak/>
              <w:t xml:space="preserve"># of mental health screenings </w:t>
            </w:r>
          </w:p>
          <w:p w14:paraId="5B6ACDD0" w14:textId="77777777" w:rsidR="008C33FD" w:rsidRPr="008C33FD" w:rsidRDefault="008C33FD" w:rsidP="008C33FD">
            <w:r w:rsidRPr="008C33FD">
              <w:t xml:space="preserve"> </w:t>
            </w:r>
          </w:p>
          <w:p w14:paraId="632603A4" w14:textId="77777777" w:rsidR="000D5349" w:rsidRDefault="008C33FD" w:rsidP="008C33FD">
            <w:r w:rsidRPr="008C33FD">
              <w:t># of patients referred to mental health providers</w:t>
            </w:r>
          </w:p>
          <w:p w14:paraId="2C040DC5" w14:textId="77777777" w:rsidR="008C33FD" w:rsidRDefault="008C33FD" w:rsidP="008C33FD"/>
          <w:p w14:paraId="7F9C4AE7" w14:textId="77777777" w:rsidR="008C33FD" w:rsidRDefault="008C33FD" w:rsidP="008C33FD"/>
          <w:p w14:paraId="57A2B193" w14:textId="77777777" w:rsidR="008C33FD" w:rsidRDefault="008C33FD" w:rsidP="008C33FD"/>
          <w:p w14:paraId="225A869D" w14:textId="77777777" w:rsidR="008C33FD" w:rsidRDefault="008C33FD" w:rsidP="008C33FD"/>
          <w:p w14:paraId="246D2725" w14:textId="77777777" w:rsidR="008C33FD" w:rsidRDefault="008C33FD" w:rsidP="008C33FD"/>
          <w:p w14:paraId="72855FDF" w14:textId="77777777" w:rsidR="008C33FD" w:rsidRDefault="008C33FD" w:rsidP="008C33FD"/>
          <w:p w14:paraId="1F9ABDBB" w14:textId="77777777" w:rsidR="008C33FD" w:rsidRDefault="008C33FD" w:rsidP="008C33FD"/>
          <w:p w14:paraId="16AFCFF3" w14:textId="77777777" w:rsidR="008C33FD" w:rsidRDefault="008C33FD" w:rsidP="008C33FD"/>
          <w:p w14:paraId="55763367" w14:textId="77777777" w:rsidR="008C33FD" w:rsidRDefault="008C33FD" w:rsidP="008C33FD"/>
          <w:p w14:paraId="121B407A" w14:textId="77777777" w:rsidR="008C33FD" w:rsidRDefault="008C33FD" w:rsidP="008C33FD"/>
          <w:p w14:paraId="284D6500" w14:textId="77777777" w:rsidR="008C33FD" w:rsidRDefault="008C33FD" w:rsidP="008C33FD"/>
          <w:p w14:paraId="7A29AE5C" w14:textId="77777777" w:rsidR="008C33FD" w:rsidRDefault="008C33FD" w:rsidP="008C33FD"/>
          <w:p w14:paraId="70AEA5D1" w14:textId="77777777" w:rsidR="008C33FD" w:rsidRDefault="008C33FD" w:rsidP="008C33FD"/>
          <w:p w14:paraId="104591D0" w14:textId="77777777" w:rsidR="008C33FD" w:rsidRDefault="008C33FD" w:rsidP="008C33FD"/>
          <w:p w14:paraId="50061ED2" w14:textId="77777777" w:rsidR="008C33FD" w:rsidRDefault="008C33FD" w:rsidP="008C33FD"/>
          <w:p w14:paraId="490BDE81" w14:textId="77777777" w:rsidR="008C33FD" w:rsidRDefault="008C33FD" w:rsidP="008C33FD"/>
          <w:p w14:paraId="7DE937C8" w14:textId="77777777" w:rsidR="008C33FD" w:rsidRDefault="008C33FD" w:rsidP="008C33FD"/>
          <w:p w14:paraId="6B5167B0" w14:textId="77777777" w:rsidR="008C33FD" w:rsidRDefault="008C33FD" w:rsidP="008C33FD"/>
          <w:p w14:paraId="018464A5" w14:textId="77777777" w:rsidR="008C33FD" w:rsidRDefault="008C33FD" w:rsidP="008C33FD"/>
          <w:p w14:paraId="10FD53CC" w14:textId="77777777" w:rsidR="008C33FD" w:rsidRDefault="008C33FD" w:rsidP="008C33FD"/>
          <w:p w14:paraId="31437CC9" w14:textId="77777777" w:rsidR="008C33FD" w:rsidRDefault="008C33FD" w:rsidP="008C33FD"/>
          <w:p w14:paraId="5C761C5F" w14:textId="77777777" w:rsidR="008C33FD" w:rsidRDefault="008C33FD" w:rsidP="008C33FD"/>
          <w:p w14:paraId="2BCDA3A4" w14:textId="77777777" w:rsidR="008C33FD" w:rsidRDefault="008C33FD" w:rsidP="008C33FD"/>
          <w:p w14:paraId="55B2D0F1" w14:textId="77777777" w:rsidR="008C33FD" w:rsidRDefault="008C33FD" w:rsidP="008C33FD"/>
          <w:p w14:paraId="40C0B3C1" w14:textId="77777777" w:rsidR="008C33FD" w:rsidRDefault="008C33FD" w:rsidP="008C33FD"/>
          <w:p w14:paraId="555A3AF3" w14:textId="77777777" w:rsidR="008C33FD" w:rsidRDefault="008C33FD" w:rsidP="008C33FD"/>
          <w:p w14:paraId="33D801A4" w14:textId="77777777" w:rsidR="008C33FD" w:rsidRDefault="008C33FD" w:rsidP="008C33FD"/>
          <w:p w14:paraId="6DE3B9F6" w14:textId="4CE34CE7" w:rsidR="008C33FD" w:rsidRDefault="008C33FD" w:rsidP="008C33FD">
            <w:r>
              <w:t xml:space="preserve">100% of Encompass </w:t>
            </w:r>
            <w:r>
              <w:lastRenderedPageBreak/>
              <w:t>Health Patients</w:t>
            </w:r>
            <w:r w:rsidR="003D5A5C">
              <w:t xml:space="preserve"> Screened</w:t>
            </w:r>
          </w:p>
          <w:p w14:paraId="507C6324" w14:textId="77777777" w:rsidR="008C33FD" w:rsidRDefault="008C33FD" w:rsidP="008C33FD"/>
          <w:p w14:paraId="67FE12A6" w14:textId="77777777" w:rsidR="008C33FD" w:rsidRDefault="008C33FD" w:rsidP="008C33FD"/>
          <w:p w14:paraId="3A6B02A1" w14:textId="77777777" w:rsidR="003D5A5C" w:rsidRDefault="003D5A5C" w:rsidP="008C33FD"/>
          <w:p w14:paraId="50E38F08" w14:textId="77777777" w:rsidR="003D5A5C" w:rsidRDefault="003D5A5C" w:rsidP="008C33FD"/>
          <w:p w14:paraId="3B4F7CC8" w14:textId="77777777" w:rsidR="003D5A5C" w:rsidRDefault="003D5A5C" w:rsidP="008C33FD"/>
          <w:p w14:paraId="16CED6D5" w14:textId="77777777" w:rsidR="003D5A5C" w:rsidRDefault="003D5A5C" w:rsidP="008C33FD"/>
          <w:p w14:paraId="60DC07FD" w14:textId="77777777" w:rsidR="003D5A5C" w:rsidRDefault="003D5A5C" w:rsidP="008C33FD"/>
          <w:p w14:paraId="3C50AF3C" w14:textId="77777777" w:rsidR="003D5A5C" w:rsidRDefault="003D5A5C" w:rsidP="008C33FD"/>
          <w:p w14:paraId="2A9F6283" w14:textId="77777777" w:rsidR="003D5A5C" w:rsidRDefault="003D5A5C" w:rsidP="008C33FD"/>
          <w:p w14:paraId="591DCEEB" w14:textId="02AB466B" w:rsidR="003D5A5C" w:rsidRDefault="003D5A5C" w:rsidP="008C33FD">
            <w:r>
              <w:t>All patients screened for underlying chronic conditions.</w:t>
            </w:r>
          </w:p>
        </w:tc>
        <w:tc>
          <w:tcPr>
            <w:tcW w:w="2338" w:type="dxa"/>
          </w:tcPr>
          <w:p w14:paraId="01AF5D67" w14:textId="77777777" w:rsidR="008C33FD" w:rsidRPr="008C33FD" w:rsidRDefault="008C33FD" w:rsidP="008C33FD">
            <w:r w:rsidRPr="008C33FD">
              <w:lastRenderedPageBreak/>
              <w:t xml:space="preserve">Community counseling agencies, other healthcare organizations that </w:t>
            </w:r>
            <w:proofErr w:type="gramStart"/>
            <w:r w:rsidRPr="008C33FD">
              <w:t>focus  on</w:t>
            </w:r>
            <w:proofErr w:type="gramEnd"/>
            <w:r w:rsidRPr="008C33FD">
              <w:t xml:space="preserve"> mental health, </w:t>
            </w:r>
          </w:p>
          <w:p w14:paraId="3F9EDDCF" w14:textId="77777777" w:rsidR="008C33FD" w:rsidRPr="008C33FD" w:rsidRDefault="008C33FD" w:rsidP="008C33FD">
            <w:r w:rsidRPr="008C33FD">
              <w:t xml:space="preserve">UVA Encompass </w:t>
            </w:r>
          </w:p>
          <w:p w14:paraId="4CB01A2E" w14:textId="77777777" w:rsidR="008C33FD" w:rsidRPr="008C33FD" w:rsidRDefault="008C33FD" w:rsidP="008C33FD">
            <w:r w:rsidRPr="008C33FD">
              <w:t xml:space="preserve">Case </w:t>
            </w:r>
          </w:p>
          <w:p w14:paraId="0E45ACD0" w14:textId="77777777" w:rsidR="000D5349" w:rsidRDefault="008C33FD" w:rsidP="008C33FD">
            <w:r w:rsidRPr="008C33FD">
              <w:t xml:space="preserve">Managers  </w:t>
            </w:r>
          </w:p>
          <w:p w14:paraId="73CB9731" w14:textId="77777777" w:rsidR="008C33FD" w:rsidRDefault="008C33FD" w:rsidP="008C33FD"/>
          <w:p w14:paraId="49D83017" w14:textId="77777777" w:rsidR="008C33FD" w:rsidRDefault="008C33FD" w:rsidP="008C33FD">
            <w:r>
              <w:t>Telemedicine access through Locum Tenens</w:t>
            </w:r>
          </w:p>
          <w:p w14:paraId="41DD0EE8" w14:textId="77777777" w:rsidR="003D5A5C" w:rsidRDefault="003D5A5C" w:rsidP="008C33FD"/>
          <w:p w14:paraId="6941D4B9" w14:textId="265F8B03" w:rsidR="003D5A5C" w:rsidRDefault="003D5A5C" w:rsidP="008C33FD">
            <w:r>
              <w:t xml:space="preserve">Referral to Stroke Comeback Club for patient and caregiver support.  </w:t>
            </w:r>
          </w:p>
          <w:p w14:paraId="41AF1940" w14:textId="77777777" w:rsidR="008C33FD" w:rsidRDefault="008C33FD" w:rsidP="008C33FD"/>
          <w:p w14:paraId="45013CA2" w14:textId="77777777" w:rsidR="008C33FD" w:rsidRDefault="008C33FD" w:rsidP="008C33FD"/>
          <w:p w14:paraId="547D216C" w14:textId="77777777" w:rsidR="008C33FD" w:rsidRDefault="008C33FD" w:rsidP="008C33FD"/>
          <w:p w14:paraId="1B798DF9" w14:textId="77777777" w:rsidR="008C33FD" w:rsidRDefault="008C33FD" w:rsidP="008C33FD"/>
          <w:p w14:paraId="6C5EE298" w14:textId="77777777" w:rsidR="008C33FD" w:rsidRDefault="008C33FD" w:rsidP="008C33FD"/>
          <w:p w14:paraId="089AF700" w14:textId="77777777" w:rsidR="008C33FD" w:rsidRDefault="008C33FD" w:rsidP="008C33FD"/>
          <w:p w14:paraId="4674578D" w14:textId="77777777" w:rsidR="008C33FD" w:rsidRDefault="008C33FD" w:rsidP="008C33FD"/>
          <w:p w14:paraId="1E6DEA4F" w14:textId="77777777" w:rsidR="008C33FD" w:rsidRDefault="008C33FD" w:rsidP="008C33FD"/>
          <w:p w14:paraId="392C1923" w14:textId="77777777" w:rsidR="008C33FD" w:rsidRDefault="008C33FD" w:rsidP="008C33FD"/>
          <w:p w14:paraId="3B19DE15" w14:textId="77777777" w:rsidR="008C33FD" w:rsidRDefault="008C33FD" w:rsidP="008C33FD"/>
          <w:p w14:paraId="7356AEBE" w14:textId="77777777" w:rsidR="008C33FD" w:rsidRDefault="008C33FD" w:rsidP="008C33FD"/>
          <w:p w14:paraId="0130CF5B" w14:textId="77777777" w:rsidR="008C33FD" w:rsidRDefault="008C33FD" w:rsidP="008C33FD"/>
          <w:p w14:paraId="44740BC3" w14:textId="77777777" w:rsidR="008C33FD" w:rsidRDefault="008C33FD" w:rsidP="008C33FD"/>
          <w:p w14:paraId="5A5C7A9A" w14:textId="77777777" w:rsidR="008C33FD" w:rsidRDefault="008C33FD" w:rsidP="008C33FD"/>
          <w:p w14:paraId="0ED3E880" w14:textId="77777777" w:rsidR="008C33FD" w:rsidRDefault="008C33FD" w:rsidP="008C33FD"/>
          <w:p w14:paraId="60772640" w14:textId="77777777" w:rsidR="008C33FD" w:rsidRDefault="008C33FD" w:rsidP="008C33FD"/>
          <w:p w14:paraId="5575A894" w14:textId="77777777" w:rsidR="008C33FD" w:rsidRDefault="008C33FD" w:rsidP="008C33FD"/>
          <w:p w14:paraId="43FA1387" w14:textId="2BA6028A" w:rsidR="008C33FD" w:rsidRDefault="008C33FD" w:rsidP="008C33FD">
            <w:proofErr w:type="gramStart"/>
            <w:r>
              <w:t>Dietitian</w:t>
            </w:r>
            <w:proofErr w:type="gramEnd"/>
            <w:r>
              <w:t xml:space="preserve"> consult and follow up as applicable.  Education provided in </w:t>
            </w:r>
            <w:r>
              <w:lastRenderedPageBreak/>
              <w:t xml:space="preserve">preferred language and in line with health literacy.  </w:t>
            </w:r>
            <w:r w:rsidR="003D5A5C">
              <w:t xml:space="preserve">Teach back method utilized to ensure understanding.  Resources provided to </w:t>
            </w:r>
            <w:proofErr w:type="gramStart"/>
            <w:r w:rsidR="003D5A5C">
              <w:t>patient</w:t>
            </w:r>
            <w:proofErr w:type="gramEnd"/>
            <w:r w:rsidR="003D5A5C">
              <w:t xml:space="preserve"> and family as needed to support access to food.</w:t>
            </w:r>
          </w:p>
          <w:p w14:paraId="2C1FB1BD" w14:textId="77777777" w:rsidR="008C33FD" w:rsidRDefault="008C33FD" w:rsidP="008C33FD"/>
          <w:p w14:paraId="2CCA9097" w14:textId="77777777" w:rsidR="003D5A5C" w:rsidRDefault="003D5A5C" w:rsidP="008C33FD"/>
          <w:p w14:paraId="6797E52F" w14:textId="36DDC1F6" w:rsidR="003D5A5C" w:rsidRDefault="003D5A5C" w:rsidP="008C33FD">
            <w:r>
              <w:t xml:space="preserve">Patients are referred to community providers and agencies to support overall wellness including home health services, outpatient therapy, primary care or specialty providers.  Encompass Health provides continued education </w:t>
            </w:r>
            <w:proofErr w:type="gramStart"/>
            <w:r>
              <w:t>on</w:t>
            </w:r>
            <w:proofErr w:type="gramEnd"/>
            <w:r>
              <w:t xml:space="preserve"> chronic conditions and supports patients and families in managing conditions at home.  Encompass Health uses teach back method to ensure understanding of management of chronic conditions.  </w:t>
            </w:r>
          </w:p>
        </w:tc>
      </w:tr>
      <w:tr w:rsidR="000D5349" w14:paraId="61623859" w14:textId="77777777" w:rsidTr="000D5349">
        <w:tc>
          <w:tcPr>
            <w:tcW w:w="2337" w:type="dxa"/>
          </w:tcPr>
          <w:p w14:paraId="3FA8C93A" w14:textId="11830C5F" w:rsidR="000D5349" w:rsidRDefault="000D5349">
            <w:r>
              <w:lastRenderedPageBreak/>
              <w:t>Healthcare Access</w:t>
            </w:r>
          </w:p>
        </w:tc>
        <w:tc>
          <w:tcPr>
            <w:tcW w:w="2337" w:type="dxa"/>
          </w:tcPr>
          <w:p w14:paraId="493C7A2E" w14:textId="4F1C8A91" w:rsidR="000D5349" w:rsidRDefault="008A4CF2">
            <w:r>
              <w:t xml:space="preserve">Utilize high risk algorithm to determine </w:t>
            </w:r>
            <w:proofErr w:type="gramStart"/>
            <w:r>
              <w:t>patient’s</w:t>
            </w:r>
            <w:proofErr w:type="gramEnd"/>
            <w:r>
              <w:t xml:space="preserve"> at highest risk for readmission and/or those who are unable to follow up with primary care within 2 weeks of discharge due to lack of transportation, </w:t>
            </w:r>
            <w:r>
              <w:lastRenderedPageBreak/>
              <w:t>accessibility, or established care.</w:t>
            </w:r>
          </w:p>
        </w:tc>
        <w:tc>
          <w:tcPr>
            <w:tcW w:w="2338" w:type="dxa"/>
          </w:tcPr>
          <w:p w14:paraId="01093B67" w14:textId="77777777" w:rsidR="000D5349" w:rsidRDefault="008A4CF2">
            <w:r>
              <w:lastRenderedPageBreak/>
              <w:t>Number of patients flagging as HR at discharge from UVA Encompass Health</w:t>
            </w:r>
          </w:p>
          <w:p w14:paraId="4824E5A6" w14:textId="77777777" w:rsidR="008A4CF2" w:rsidRDefault="008A4CF2"/>
          <w:p w14:paraId="20C5363A" w14:textId="77777777" w:rsidR="008A4CF2" w:rsidRDefault="008A4CF2">
            <w:r>
              <w:t>Number of patients without PCP appts within 2 weeks of discharge</w:t>
            </w:r>
          </w:p>
          <w:p w14:paraId="3F124866" w14:textId="77777777" w:rsidR="008A4CF2" w:rsidRDefault="008A4CF2"/>
          <w:p w14:paraId="302814D2" w14:textId="5FC97D37" w:rsidR="008A4CF2" w:rsidRDefault="008A4CF2">
            <w:r>
              <w:lastRenderedPageBreak/>
              <w:t>Number of patients who are unable to attend follow up appts due to lack of transportation or home accessibility</w:t>
            </w:r>
          </w:p>
        </w:tc>
        <w:tc>
          <w:tcPr>
            <w:tcW w:w="2338" w:type="dxa"/>
          </w:tcPr>
          <w:p w14:paraId="73E11754" w14:textId="77777777" w:rsidR="000D5349" w:rsidRDefault="008A4CF2">
            <w:r>
              <w:lastRenderedPageBreak/>
              <w:t>Refer patients to Cardinal Health Telemedicine Services</w:t>
            </w:r>
          </w:p>
          <w:p w14:paraId="10A20649" w14:textId="77777777" w:rsidR="008A4CF2" w:rsidRDefault="008A4CF2"/>
          <w:p w14:paraId="787608DC" w14:textId="77777777" w:rsidR="008A4CF2" w:rsidRDefault="008A4CF2">
            <w:r>
              <w:t>Refer to PACE to transition all care to central provider</w:t>
            </w:r>
          </w:p>
          <w:p w14:paraId="7D31C87E" w14:textId="77777777" w:rsidR="008A4CF2" w:rsidRDefault="008A4CF2"/>
          <w:p w14:paraId="0CB39B87" w14:textId="0A74FCA4" w:rsidR="008A4CF2" w:rsidRDefault="008A4CF2">
            <w:r>
              <w:t>Refer to Mobile Wound Clinic</w:t>
            </w:r>
          </w:p>
        </w:tc>
      </w:tr>
      <w:tr w:rsidR="000D5349" w14:paraId="3C528C97" w14:textId="77777777" w:rsidTr="000D5349">
        <w:tc>
          <w:tcPr>
            <w:tcW w:w="2337" w:type="dxa"/>
          </w:tcPr>
          <w:p w14:paraId="4E70CEA0" w14:textId="77777777" w:rsidR="000D5349" w:rsidRDefault="000D5349">
            <w:r>
              <w:t>Social Drivers of Health</w:t>
            </w:r>
          </w:p>
          <w:p w14:paraId="7F193F92" w14:textId="77777777" w:rsidR="000D5349" w:rsidRDefault="000D5349"/>
          <w:p w14:paraId="14062303" w14:textId="77777777" w:rsidR="000D5349" w:rsidRDefault="000D5349">
            <w:r>
              <w:t>Food Resources</w:t>
            </w:r>
          </w:p>
          <w:p w14:paraId="101891EA" w14:textId="766752CF" w:rsidR="000D5349" w:rsidRDefault="000D5349">
            <w:r>
              <w:t xml:space="preserve">Transportation </w:t>
            </w:r>
          </w:p>
        </w:tc>
        <w:tc>
          <w:tcPr>
            <w:tcW w:w="2337" w:type="dxa"/>
          </w:tcPr>
          <w:p w14:paraId="19A280D9" w14:textId="44A8D9E7" w:rsidR="000D5349" w:rsidRDefault="00233DEC">
            <w:r>
              <w:t xml:space="preserve">Assessment is ongoing throughout the patient’s </w:t>
            </w:r>
            <w:proofErr w:type="gramStart"/>
            <w:r>
              <w:t>stay</w:t>
            </w:r>
            <w:proofErr w:type="gramEnd"/>
            <w:r>
              <w:t xml:space="preserve"> to identify deficiencies in social determinants of health including access to transportation, primary care, health literacy, access to food and shelter, rural location, social isolation.</w:t>
            </w:r>
          </w:p>
        </w:tc>
        <w:tc>
          <w:tcPr>
            <w:tcW w:w="2338" w:type="dxa"/>
          </w:tcPr>
          <w:p w14:paraId="0A35B936" w14:textId="71FC016F" w:rsidR="000D5349" w:rsidRDefault="00233DEC">
            <w:r>
              <w:t>Identification of SDOH is available through a Beacon Application, goal is for linkage to intervention 75% of the time when a SDOH is identified.</w:t>
            </w:r>
          </w:p>
        </w:tc>
        <w:tc>
          <w:tcPr>
            <w:tcW w:w="2338" w:type="dxa"/>
          </w:tcPr>
          <w:p w14:paraId="4A0EFED2" w14:textId="44B8EE70" w:rsidR="000D5349" w:rsidRDefault="00233DEC">
            <w:r>
              <w:t>Intervention</w:t>
            </w:r>
            <w:r w:rsidR="008A4CF2">
              <w:t>s may include referrals to other community organizations to establish transportation services and/or access to programs to assist in medication and food affordability such as MOW, JABA, JAUNT, PACE, and local food pantries, increase referral to telehealth primary care through Cardinal Health, identify and provide reading level appropriate health literature.</w:t>
            </w:r>
          </w:p>
        </w:tc>
      </w:tr>
    </w:tbl>
    <w:p w14:paraId="7F75A3CF" w14:textId="77777777" w:rsidR="000D5349" w:rsidRDefault="000D5349"/>
    <w:sectPr w:rsidR="000D5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D2129"/>
    <w:multiLevelType w:val="hybridMultilevel"/>
    <w:tmpl w:val="C2640238"/>
    <w:lvl w:ilvl="0" w:tplc="93747572">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3983100">
      <w:start w:val="1"/>
      <w:numFmt w:val="bullet"/>
      <w:lvlText w:val="o"/>
      <w:lvlJc w:val="left"/>
      <w:pPr>
        <w:ind w:left="15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BF48654">
      <w:start w:val="1"/>
      <w:numFmt w:val="bullet"/>
      <w:lvlText w:val="▪"/>
      <w:lvlJc w:val="left"/>
      <w:pPr>
        <w:ind w:left="22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2DAA812">
      <w:start w:val="1"/>
      <w:numFmt w:val="bullet"/>
      <w:lvlText w:val="•"/>
      <w:lvlJc w:val="left"/>
      <w:pPr>
        <w:ind w:left="29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3A6F164">
      <w:start w:val="1"/>
      <w:numFmt w:val="bullet"/>
      <w:lvlText w:val="o"/>
      <w:lvlJc w:val="left"/>
      <w:pPr>
        <w:ind w:left="37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7F889B2">
      <w:start w:val="1"/>
      <w:numFmt w:val="bullet"/>
      <w:lvlText w:val="▪"/>
      <w:lvlJc w:val="left"/>
      <w:pPr>
        <w:ind w:left="44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5CAED1E">
      <w:start w:val="1"/>
      <w:numFmt w:val="bullet"/>
      <w:lvlText w:val="•"/>
      <w:lvlJc w:val="left"/>
      <w:pPr>
        <w:ind w:left="51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C62D4A4">
      <w:start w:val="1"/>
      <w:numFmt w:val="bullet"/>
      <w:lvlText w:val="o"/>
      <w:lvlJc w:val="left"/>
      <w:pPr>
        <w:ind w:left="58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31CD8EE">
      <w:start w:val="1"/>
      <w:numFmt w:val="bullet"/>
      <w:lvlText w:val="▪"/>
      <w:lvlJc w:val="left"/>
      <w:pPr>
        <w:ind w:left="65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31622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49"/>
    <w:rsid w:val="00014463"/>
    <w:rsid w:val="00081EFF"/>
    <w:rsid w:val="000D5349"/>
    <w:rsid w:val="001F417F"/>
    <w:rsid w:val="00233DEC"/>
    <w:rsid w:val="003D5A5C"/>
    <w:rsid w:val="00771375"/>
    <w:rsid w:val="008A4CF2"/>
    <w:rsid w:val="008C33FD"/>
    <w:rsid w:val="00912727"/>
    <w:rsid w:val="00A17815"/>
    <w:rsid w:val="00B26D55"/>
    <w:rsid w:val="00CA28F8"/>
    <w:rsid w:val="00CE5EE4"/>
    <w:rsid w:val="00D067FB"/>
    <w:rsid w:val="00DA2E87"/>
    <w:rsid w:val="00DC1D1C"/>
    <w:rsid w:val="00E3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845C"/>
  <w15:chartTrackingRefBased/>
  <w15:docId w15:val="{96F0C1AA-B0A8-4C0D-8A38-213B01E0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349"/>
    <w:rPr>
      <w:rFonts w:eastAsiaTheme="majorEastAsia" w:cstheme="majorBidi"/>
      <w:color w:val="272727" w:themeColor="text1" w:themeTint="D8"/>
    </w:rPr>
  </w:style>
  <w:style w:type="paragraph" w:styleId="Title">
    <w:name w:val="Title"/>
    <w:basedOn w:val="Normal"/>
    <w:next w:val="Normal"/>
    <w:link w:val="TitleChar"/>
    <w:uiPriority w:val="10"/>
    <w:qFormat/>
    <w:rsid w:val="000D5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349"/>
    <w:pPr>
      <w:spacing w:before="160"/>
      <w:jc w:val="center"/>
    </w:pPr>
    <w:rPr>
      <w:i/>
      <w:iCs/>
      <w:color w:val="404040" w:themeColor="text1" w:themeTint="BF"/>
    </w:rPr>
  </w:style>
  <w:style w:type="character" w:customStyle="1" w:styleId="QuoteChar">
    <w:name w:val="Quote Char"/>
    <w:basedOn w:val="DefaultParagraphFont"/>
    <w:link w:val="Quote"/>
    <w:uiPriority w:val="29"/>
    <w:rsid w:val="000D5349"/>
    <w:rPr>
      <w:i/>
      <w:iCs/>
      <w:color w:val="404040" w:themeColor="text1" w:themeTint="BF"/>
    </w:rPr>
  </w:style>
  <w:style w:type="paragraph" w:styleId="ListParagraph">
    <w:name w:val="List Paragraph"/>
    <w:basedOn w:val="Normal"/>
    <w:uiPriority w:val="34"/>
    <w:qFormat/>
    <w:rsid w:val="000D5349"/>
    <w:pPr>
      <w:ind w:left="720"/>
      <w:contextualSpacing/>
    </w:pPr>
  </w:style>
  <w:style w:type="character" w:styleId="IntenseEmphasis">
    <w:name w:val="Intense Emphasis"/>
    <w:basedOn w:val="DefaultParagraphFont"/>
    <w:uiPriority w:val="21"/>
    <w:qFormat/>
    <w:rsid w:val="000D5349"/>
    <w:rPr>
      <w:i/>
      <w:iCs/>
      <w:color w:val="0F4761" w:themeColor="accent1" w:themeShade="BF"/>
    </w:rPr>
  </w:style>
  <w:style w:type="paragraph" w:styleId="IntenseQuote">
    <w:name w:val="Intense Quote"/>
    <w:basedOn w:val="Normal"/>
    <w:next w:val="Normal"/>
    <w:link w:val="IntenseQuoteChar"/>
    <w:uiPriority w:val="30"/>
    <w:qFormat/>
    <w:rsid w:val="000D5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349"/>
    <w:rPr>
      <w:i/>
      <w:iCs/>
      <w:color w:val="0F4761" w:themeColor="accent1" w:themeShade="BF"/>
    </w:rPr>
  </w:style>
  <w:style w:type="character" w:styleId="IntenseReference">
    <w:name w:val="Intense Reference"/>
    <w:basedOn w:val="DefaultParagraphFont"/>
    <w:uiPriority w:val="32"/>
    <w:qFormat/>
    <w:rsid w:val="000D5349"/>
    <w:rPr>
      <w:b/>
      <w:bCs/>
      <w:smallCaps/>
      <w:color w:val="0F4761" w:themeColor="accent1" w:themeShade="BF"/>
      <w:spacing w:val="5"/>
    </w:rPr>
  </w:style>
  <w:style w:type="table" w:styleId="TableGrid">
    <w:name w:val="Table Grid"/>
    <w:basedOn w:val="TableNormal"/>
    <w:uiPriority w:val="39"/>
    <w:rsid w:val="000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UVA Health</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Southerland, Mary Frances *HS</dc:creator>
  <cp:keywords/>
  <dc:description/>
  <cp:lastModifiedBy>Gwaltney, Kim</cp:lastModifiedBy>
  <cp:revision>2</cp:revision>
  <dcterms:created xsi:type="dcterms:W3CDTF">2026-07-08T04:36:00Z</dcterms:created>
  <dcterms:modified xsi:type="dcterms:W3CDTF">2026-07-08T04:36:00Z</dcterms:modified>
</cp:coreProperties>
</file>