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2317" w14:textId="5D322CA3" w:rsidR="0017686F" w:rsidRPr="00C93A1C" w:rsidRDefault="00C93A1C" w:rsidP="00C93A1C">
      <w:pPr>
        <w:jc w:val="center"/>
        <w:rPr>
          <w:b/>
          <w:bCs/>
          <w:lang w:val="en-US"/>
        </w:rPr>
      </w:pPr>
      <w:r w:rsidRPr="00C93A1C">
        <w:rPr>
          <w:b/>
          <w:bCs/>
          <w:lang w:val="en-US"/>
        </w:rPr>
        <w:t>BIR. S.2, Episode 6</w:t>
      </w:r>
    </w:p>
    <w:p w14:paraId="6428A6EF" w14:textId="70ED6827" w:rsidR="00C93A1C" w:rsidRPr="00002757" w:rsidRDefault="00C93A1C" w:rsidP="00C93A1C">
      <w:r w:rsidRPr="00002757">
        <w:rPr>
          <w:b/>
          <w:bCs/>
        </w:rPr>
        <w:t>Title (EN):</w:t>
      </w:r>
      <w:r w:rsidRPr="00002757">
        <w:t xml:space="preserve"> </w:t>
      </w:r>
      <w:r w:rsidRPr="00B6350C">
        <w:t>Be It Resolved: Boards Need a Culture Shift to “Bad News Early” to Meet New Disclosure Obligations</w:t>
      </w:r>
      <w:r>
        <w:t>.</w:t>
      </w:r>
    </w:p>
    <w:p w14:paraId="5AE13B3F" w14:textId="3D4CE5B0" w:rsidR="00C93A1C" w:rsidRPr="00303CA0" w:rsidRDefault="00C93A1C" w:rsidP="00C93A1C">
      <w:pPr>
        <w:rPr>
          <w:lang w:val="fr-CA"/>
        </w:rPr>
      </w:pPr>
      <w:r w:rsidRPr="00303CA0">
        <w:rPr>
          <w:b/>
          <w:bCs/>
          <w:lang w:val="fr-CA"/>
        </w:rPr>
        <w:t>Title (FR):</w:t>
      </w:r>
      <w:r w:rsidRPr="00303CA0">
        <w:rPr>
          <w:lang w:val="fr-CA"/>
        </w:rPr>
        <w:t xml:space="preserve"> </w:t>
      </w:r>
      <w:r w:rsidRPr="00C93A1C">
        <w:rPr>
          <w:lang w:val="fr-CA"/>
        </w:rPr>
        <w:t xml:space="preserve">Be It </w:t>
      </w:r>
      <w:proofErr w:type="spellStart"/>
      <w:r w:rsidRPr="00C93A1C">
        <w:rPr>
          <w:lang w:val="fr-CA"/>
        </w:rPr>
        <w:t>Resolved</w:t>
      </w:r>
      <w:proofErr w:type="spellEnd"/>
      <w:r w:rsidRPr="00C93A1C">
        <w:rPr>
          <w:lang w:val="fr-CA"/>
        </w:rPr>
        <w:t xml:space="preserve"> : Les conseils d’administration doivent adopter une culture encourageant la communication rapide des mauvaises nouvelles afin de respecter les nouvelles obligations de divulgation</w:t>
      </w:r>
      <w:r w:rsidR="00282565">
        <w:rPr>
          <w:lang w:val="fr-CA"/>
        </w:rPr>
        <w:t>.</w:t>
      </w:r>
    </w:p>
    <w:p w14:paraId="37DB68A9" w14:textId="6DD4ADE9" w:rsidR="00C93A1C" w:rsidRPr="00C93A1C" w:rsidRDefault="00C93A1C" w:rsidP="00C93A1C">
      <w:pPr>
        <w:jc w:val="both"/>
      </w:pPr>
      <w:r w:rsidRPr="00C93A1C">
        <w:rPr>
          <w:b/>
          <w:bCs/>
        </w:rPr>
        <w:t xml:space="preserve">Guest (EN): </w:t>
      </w:r>
      <w:r w:rsidRPr="00C93A1C">
        <w:t>Peter Dey, Chairman of Paradigm Capital</w:t>
      </w:r>
    </w:p>
    <w:p w14:paraId="774AEBB7" w14:textId="407734AB" w:rsidR="00C93A1C" w:rsidRPr="00C93A1C" w:rsidRDefault="00C93A1C" w:rsidP="00C93A1C">
      <w:pPr>
        <w:rPr>
          <w:lang w:val="fr-CA"/>
        </w:rPr>
      </w:pPr>
      <w:r w:rsidRPr="00C93A1C">
        <w:rPr>
          <w:b/>
          <w:bCs/>
          <w:lang w:val="fr-CA"/>
        </w:rPr>
        <w:t>Guest (FR):</w:t>
      </w:r>
      <w:r w:rsidRPr="00C93A1C">
        <w:rPr>
          <w:lang w:val="fr-CA"/>
        </w:rPr>
        <w:t xml:space="preserve"> M. Peter Dey, président du conseil de </w:t>
      </w:r>
      <w:proofErr w:type="spellStart"/>
      <w:r w:rsidRPr="00C93A1C">
        <w:rPr>
          <w:lang w:val="fr-CA"/>
        </w:rPr>
        <w:t>Paradigm</w:t>
      </w:r>
      <w:proofErr w:type="spellEnd"/>
      <w:r w:rsidRPr="00C93A1C">
        <w:rPr>
          <w:lang w:val="fr-CA"/>
        </w:rPr>
        <w:t xml:space="preserve"> Capital</w:t>
      </w:r>
    </w:p>
    <w:p w14:paraId="1041C0E5" w14:textId="77777777" w:rsidR="00C93A1C" w:rsidRPr="00C93A1C" w:rsidRDefault="00C93A1C" w:rsidP="00C93A1C">
      <w:pPr>
        <w:rPr>
          <w:lang w:val="fr-CA"/>
        </w:rPr>
      </w:pPr>
    </w:p>
    <w:p w14:paraId="4591DCF2" w14:textId="462FBCA4" w:rsidR="00C93A1C" w:rsidRDefault="00C93A1C" w:rsidP="00C93A1C">
      <w:pPr>
        <w:tabs>
          <w:tab w:val="left" w:pos="2580"/>
        </w:tabs>
        <w:rPr>
          <w:b/>
          <w:bCs/>
        </w:rPr>
      </w:pPr>
      <w:r w:rsidRPr="00002757">
        <w:rPr>
          <w:b/>
          <w:bCs/>
        </w:rPr>
        <w:t>Bio (EN</w:t>
      </w:r>
      <w:r>
        <w:rPr>
          <w:b/>
          <w:bCs/>
        </w:rPr>
        <w:t>)</w:t>
      </w:r>
    </w:p>
    <w:p w14:paraId="653DBD59" w14:textId="77777777" w:rsidR="00C93A1C" w:rsidRDefault="00C93A1C" w:rsidP="00C93A1C">
      <w:pPr>
        <w:pStyle w:val="BodyText"/>
        <w:spacing w:line="276" w:lineRule="auto"/>
        <w:ind w:right="121"/>
        <w:jc w:val="both"/>
        <w:rPr>
          <w:rStyle w:val="A6"/>
        </w:rPr>
      </w:pPr>
      <w:r>
        <w:rPr>
          <w:rStyle w:val="A6"/>
        </w:rPr>
        <w:t xml:space="preserve">Mr. Peter James Dey has been Chairman of Paradigm Capital, an investment dealer, since November 2005. He has been a Director of Gran Tierra Energy since May 2015. He has held numerous corporate directorships, was Managing Director and Chairman of Morgan Stanley Canada (1994-2001), and a partner at Osler, Hoskin &amp; Harcourt from 1972- 1983; 1985-1994; and 2001-2005. From 1993-1995, he chaired the Toronto Stock Exchange Committee on corporate governance which established guidelines for the governance of Canadian corporations in the report “Where Were </w:t>
      </w:r>
      <w:proofErr w:type="gramStart"/>
      <w:r>
        <w:rPr>
          <w:rStyle w:val="A6"/>
        </w:rPr>
        <w:t>The</w:t>
      </w:r>
      <w:proofErr w:type="gramEnd"/>
      <w:r>
        <w:rPr>
          <w:rStyle w:val="A6"/>
        </w:rPr>
        <w:t xml:space="preserve"> Directors?” (also known as the “Dey Report”). He has also served as Chairman of the Ontario Securities Commission and was Canada’s representative to the Organization for Economic Co-operation and Development Task Force that developed the OECD Principles of Corporate Governance released in May of 1999. </w:t>
      </w:r>
      <w:r w:rsidRPr="009A51A8">
        <w:rPr>
          <w:rStyle w:val="A6"/>
        </w:rPr>
        <w:t>Dey also co-authored with Sarah Kaplan - the 2021 report, “360 Degree Governance: Where are the Directors in a World in Crisis?”</w:t>
      </w:r>
    </w:p>
    <w:p w14:paraId="0C95EBAF" w14:textId="77777777" w:rsidR="00C93A1C" w:rsidRDefault="00C93A1C" w:rsidP="00C93A1C">
      <w:pPr>
        <w:pStyle w:val="BodyText"/>
        <w:spacing w:line="276" w:lineRule="auto"/>
        <w:ind w:right="121"/>
        <w:jc w:val="both"/>
        <w:rPr>
          <w:rStyle w:val="A6"/>
        </w:rPr>
      </w:pPr>
    </w:p>
    <w:p w14:paraId="6E7F3EB6" w14:textId="77777777" w:rsidR="00C93A1C" w:rsidRDefault="00C93A1C" w:rsidP="00C93A1C">
      <w:pPr>
        <w:pStyle w:val="BodyText"/>
        <w:spacing w:line="276" w:lineRule="auto"/>
        <w:ind w:right="121"/>
        <w:jc w:val="both"/>
        <w:rPr>
          <w:rStyle w:val="A6"/>
        </w:rPr>
      </w:pPr>
      <w:r w:rsidRPr="00151CB9">
        <w:rPr>
          <w:rFonts w:cs="AvenirNext LT Pro Regular"/>
          <w:color w:val="221E1F"/>
          <w:sz w:val="22"/>
          <w:szCs w:val="22"/>
        </w:rPr>
        <w:t xml:space="preserve">Mr. Dey attended Queen’s University, where he earned his Bachelor of </w:t>
      </w:r>
      <w:proofErr w:type="gramStart"/>
      <w:r w:rsidRPr="00151CB9">
        <w:rPr>
          <w:rFonts w:cs="AvenirNext LT Pro Regular"/>
          <w:color w:val="221E1F"/>
          <w:sz w:val="22"/>
          <w:szCs w:val="22"/>
        </w:rPr>
        <w:t>Science</w:t>
      </w:r>
      <w:proofErr w:type="gramEnd"/>
      <w:r w:rsidRPr="00151CB9">
        <w:rPr>
          <w:rFonts w:cs="AvenirNext LT Pro Regular"/>
          <w:color w:val="221E1F"/>
          <w:sz w:val="22"/>
          <w:szCs w:val="22"/>
        </w:rPr>
        <w:t xml:space="preserve"> in 1963 and Dalhousie University, where he earned his Bachelor of Laws degree in 1966. He received his Master of Laws degree from Harvard University in 1967.</w:t>
      </w:r>
      <w:r>
        <w:rPr>
          <w:rStyle w:val="A6"/>
        </w:rPr>
        <w:t xml:space="preserve"> </w:t>
      </w:r>
    </w:p>
    <w:p w14:paraId="2295B76B" w14:textId="77777777" w:rsidR="00C93A1C" w:rsidRPr="0009320E" w:rsidRDefault="00C93A1C" w:rsidP="00C93A1C">
      <w:pPr>
        <w:pStyle w:val="BodyText"/>
        <w:spacing w:line="276" w:lineRule="auto"/>
        <w:ind w:right="121"/>
        <w:jc w:val="both"/>
        <w:rPr>
          <w:bCs/>
          <w:sz w:val="22"/>
          <w:szCs w:val="22"/>
          <w:lang w:val="en-CA"/>
        </w:rPr>
      </w:pPr>
    </w:p>
    <w:p w14:paraId="64AA3B8A" w14:textId="77777777" w:rsidR="00C93A1C" w:rsidRPr="0023545A" w:rsidRDefault="00C93A1C" w:rsidP="00C93A1C">
      <w:pPr>
        <w:pStyle w:val="BodyText"/>
        <w:spacing w:line="277" w:lineRule="auto"/>
        <w:ind w:right="121"/>
        <w:jc w:val="both"/>
        <w:rPr>
          <w:bCs/>
          <w:i/>
          <w:iCs/>
          <w:lang w:val="en-CA"/>
        </w:rPr>
      </w:pPr>
      <w:r w:rsidRPr="0023545A">
        <w:rPr>
          <w:bCs/>
          <w:i/>
          <w:iCs/>
          <w:lang w:val="en-CA"/>
        </w:rPr>
        <w:t xml:space="preserve">Source: </w:t>
      </w:r>
      <w:r>
        <w:rPr>
          <w:bCs/>
          <w:i/>
          <w:iCs/>
          <w:lang w:val="en-CA"/>
        </w:rPr>
        <w:t>competentboards.com</w:t>
      </w:r>
      <w:r w:rsidRPr="0023545A">
        <w:rPr>
          <w:bCs/>
          <w:i/>
          <w:iCs/>
          <w:lang w:val="en-CA"/>
        </w:rPr>
        <w:t xml:space="preserve"> </w:t>
      </w:r>
    </w:p>
    <w:p w14:paraId="36C601BF" w14:textId="77777777" w:rsidR="00C93A1C" w:rsidRDefault="00C93A1C" w:rsidP="00C93A1C">
      <w:pPr>
        <w:tabs>
          <w:tab w:val="left" w:pos="2580"/>
        </w:tabs>
        <w:rPr>
          <w:b/>
          <w:bCs/>
        </w:rPr>
      </w:pPr>
    </w:p>
    <w:p w14:paraId="25A832D6" w14:textId="10D8B777" w:rsidR="00C93A1C" w:rsidRDefault="00C93A1C" w:rsidP="00C93A1C">
      <w:pPr>
        <w:tabs>
          <w:tab w:val="left" w:pos="2580"/>
        </w:tabs>
        <w:rPr>
          <w:b/>
          <w:bCs/>
        </w:rPr>
      </w:pPr>
      <w:r>
        <w:rPr>
          <w:b/>
          <w:bCs/>
        </w:rPr>
        <w:t>Bio (FR)</w:t>
      </w:r>
    </w:p>
    <w:p w14:paraId="5D13D109" w14:textId="77777777" w:rsidR="00C93A1C" w:rsidRPr="00C93A1C" w:rsidRDefault="00C93A1C" w:rsidP="00C93A1C">
      <w:pPr>
        <w:pStyle w:val="BodyText"/>
        <w:spacing w:line="276" w:lineRule="auto"/>
        <w:ind w:right="121"/>
        <w:jc w:val="both"/>
        <w:rPr>
          <w:rStyle w:val="A6"/>
          <w:lang w:val="fr-CA"/>
        </w:rPr>
      </w:pPr>
      <w:r>
        <w:rPr>
          <w:rStyle w:val="A6"/>
          <w:lang w:val="fr-CA"/>
        </w:rPr>
        <w:t xml:space="preserve">M. Peter James Dey est président du conseil de </w:t>
      </w:r>
      <w:proofErr w:type="spellStart"/>
      <w:r>
        <w:rPr>
          <w:rStyle w:val="A6"/>
          <w:lang w:val="fr-CA"/>
        </w:rPr>
        <w:t>Paradigm</w:t>
      </w:r>
      <w:proofErr w:type="spellEnd"/>
      <w:r>
        <w:rPr>
          <w:rStyle w:val="A6"/>
          <w:lang w:val="fr-CA"/>
        </w:rPr>
        <w:t xml:space="preserve"> Capital, </w:t>
      </w:r>
      <w:proofErr w:type="gramStart"/>
      <w:r>
        <w:rPr>
          <w:rStyle w:val="A6"/>
          <w:lang w:val="fr-CA"/>
        </w:rPr>
        <w:t>un maison</w:t>
      </w:r>
      <w:proofErr w:type="gramEnd"/>
      <w:r>
        <w:rPr>
          <w:rStyle w:val="A6"/>
          <w:lang w:val="fr-CA"/>
        </w:rPr>
        <w:t xml:space="preserve"> de courtage de valeurs, depuis novembre 2005. Il est administrateur de Gran Tierra Energy depuis mai 2015. Il a occupé de nombreux postes d’administrateur de sociétés, a été directeur général et président du conseil de Morgan Stanley Canada (de 1994 à 2001) et a été associé chez Osler, Hoskin &amp; Harcourt de 1972 à 1983, de 1985 à 1994 et de 2001 à 2005. De 1993 à 1995, M. Dey a présidé le comité de la Bourse de Toronto sur la gouvernance de sociétés au Canada, </w:t>
      </w:r>
      <w:proofErr w:type="gramStart"/>
      <w:r>
        <w:rPr>
          <w:rStyle w:val="A6"/>
          <w:lang w:val="fr-CA"/>
        </w:rPr>
        <w:lastRenderedPageBreak/>
        <w:t>qui</w:t>
      </w:r>
      <w:proofErr w:type="gramEnd"/>
      <w:r>
        <w:rPr>
          <w:rStyle w:val="A6"/>
          <w:lang w:val="fr-CA"/>
        </w:rPr>
        <w:t xml:space="preserve"> a établi des lignes directrices sur la gouvernance à l’intention des sociétés canadiennes dans le rapport « </w:t>
      </w:r>
      <w:proofErr w:type="spellStart"/>
      <w:r>
        <w:rPr>
          <w:rStyle w:val="A6"/>
          <w:lang w:val="fr-CA"/>
        </w:rPr>
        <w:t>Where</w:t>
      </w:r>
      <w:proofErr w:type="spellEnd"/>
      <w:r>
        <w:rPr>
          <w:rStyle w:val="A6"/>
          <w:lang w:val="fr-CA"/>
        </w:rPr>
        <w:t xml:space="preserve"> Were the </w:t>
      </w:r>
      <w:proofErr w:type="spellStart"/>
      <w:r>
        <w:rPr>
          <w:rStyle w:val="A6"/>
          <w:lang w:val="fr-CA"/>
        </w:rPr>
        <w:t>Directors</w:t>
      </w:r>
      <w:proofErr w:type="spellEnd"/>
      <w:r>
        <w:rPr>
          <w:rStyle w:val="A6"/>
          <w:lang w:val="fr-CA"/>
        </w:rPr>
        <w:t>? » (</w:t>
      </w:r>
      <w:proofErr w:type="gramStart"/>
      <w:r>
        <w:rPr>
          <w:rStyle w:val="A6"/>
          <w:lang w:val="fr-CA"/>
        </w:rPr>
        <w:t>aussi</w:t>
      </w:r>
      <w:proofErr w:type="gramEnd"/>
      <w:r>
        <w:rPr>
          <w:rStyle w:val="A6"/>
          <w:lang w:val="fr-CA"/>
        </w:rPr>
        <w:t xml:space="preserve"> connu sous le nom de « rapport Dey »). Il a également été président du conseil de la Commission des valeurs mobilières de l’Ontario et représentant du Canada auprès du groupe de travail de l’Organisation de coopération et de développement économiques (« OCDE ») qui a élaboré les principes de gouvernance de sociétés de l’OCDE publiés en mai 1999. M. Dey a également rédigé, en collaboration avec Mme Sarah Kaplan, le rapport de 2021 intitulé « 360 Degree </w:t>
      </w:r>
      <w:proofErr w:type="spellStart"/>
      <w:r>
        <w:rPr>
          <w:rStyle w:val="A6"/>
          <w:lang w:val="fr-CA"/>
        </w:rPr>
        <w:t>Governance</w:t>
      </w:r>
      <w:proofErr w:type="spellEnd"/>
      <w:r>
        <w:rPr>
          <w:rStyle w:val="A6"/>
          <w:lang w:val="fr-CA"/>
        </w:rPr>
        <w:t xml:space="preserve">: </w:t>
      </w:r>
      <w:proofErr w:type="spellStart"/>
      <w:r>
        <w:rPr>
          <w:rStyle w:val="A6"/>
          <w:lang w:val="fr-CA"/>
        </w:rPr>
        <w:t>Where</w:t>
      </w:r>
      <w:proofErr w:type="spellEnd"/>
      <w:r>
        <w:rPr>
          <w:rStyle w:val="A6"/>
          <w:lang w:val="fr-CA"/>
        </w:rPr>
        <w:t xml:space="preserve"> are the </w:t>
      </w:r>
      <w:proofErr w:type="spellStart"/>
      <w:r>
        <w:rPr>
          <w:rStyle w:val="A6"/>
          <w:lang w:val="fr-CA"/>
        </w:rPr>
        <w:t>Directors</w:t>
      </w:r>
      <w:proofErr w:type="spellEnd"/>
      <w:r>
        <w:rPr>
          <w:rStyle w:val="A6"/>
          <w:lang w:val="fr-CA"/>
        </w:rPr>
        <w:t xml:space="preserve"> in </w:t>
      </w:r>
      <w:proofErr w:type="gramStart"/>
      <w:r>
        <w:rPr>
          <w:rStyle w:val="A6"/>
          <w:lang w:val="fr-CA"/>
        </w:rPr>
        <w:t>a</w:t>
      </w:r>
      <w:proofErr w:type="gramEnd"/>
      <w:r>
        <w:rPr>
          <w:rStyle w:val="A6"/>
          <w:lang w:val="fr-CA"/>
        </w:rPr>
        <w:t xml:space="preserve"> World of Crisis ».</w:t>
      </w:r>
    </w:p>
    <w:p w14:paraId="5C473756" w14:textId="77777777" w:rsidR="00C93A1C" w:rsidRPr="00C93A1C" w:rsidRDefault="00C93A1C" w:rsidP="00C93A1C">
      <w:pPr>
        <w:pStyle w:val="BodyText"/>
        <w:spacing w:line="276" w:lineRule="auto"/>
        <w:ind w:right="121"/>
        <w:jc w:val="both"/>
        <w:rPr>
          <w:rStyle w:val="A6"/>
          <w:lang w:val="fr-CA"/>
        </w:rPr>
      </w:pPr>
    </w:p>
    <w:p w14:paraId="3322BBC1" w14:textId="77777777" w:rsidR="00C93A1C" w:rsidRPr="00C93A1C" w:rsidRDefault="00C93A1C" w:rsidP="00C93A1C">
      <w:pPr>
        <w:pStyle w:val="BodyText"/>
        <w:spacing w:line="276" w:lineRule="auto"/>
        <w:ind w:right="121"/>
        <w:jc w:val="both"/>
        <w:rPr>
          <w:rStyle w:val="A6"/>
          <w:lang w:val="fr-CA"/>
        </w:rPr>
      </w:pPr>
      <w:r>
        <w:rPr>
          <w:rFonts w:cs="AvenirNext LT Pro Regular"/>
          <w:color w:val="221E1F"/>
          <w:sz w:val="22"/>
          <w:szCs w:val="22"/>
          <w:lang w:val="fr-CA"/>
        </w:rPr>
        <w:t xml:space="preserve">M. Dey a étudié à l’Université </w:t>
      </w:r>
      <w:proofErr w:type="spellStart"/>
      <w:r>
        <w:rPr>
          <w:rFonts w:cs="AvenirNext LT Pro Regular"/>
          <w:color w:val="221E1F"/>
          <w:sz w:val="22"/>
          <w:szCs w:val="22"/>
          <w:lang w:val="fr-CA"/>
        </w:rPr>
        <w:t>Queen’s</w:t>
      </w:r>
      <w:proofErr w:type="spellEnd"/>
      <w:r>
        <w:rPr>
          <w:rFonts w:cs="AvenirNext LT Pro Regular"/>
          <w:color w:val="221E1F"/>
          <w:sz w:val="22"/>
          <w:szCs w:val="22"/>
          <w:lang w:val="fr-CA"/>
        </w:rPr>
        <w:t>, où il a obtenu son baccalauréat ès sciences en 1963, et à l’Université Dalhousie, où il a obtenu son baccalauréat en droit en 1966. Il a obtenu une maîtrise en droit à l’Université Harvard en 1967.</w:t>
      </w:r>
      <w:r>
        <w:rPr>
          <w:rStyle w:val="A6"/>
          <w:lang w:val="fr-CA"/>
        </w:rPr>
        <w:t xml:space="preserve"> </w:t>
      </w:r>
    </w:p>
    <w:p w14:paraId="5689A8F6" w14:textId="77777777" w:rsidR="00C93A1C" w:rsidRPr="00C93A1C" w:rsidRDefault="00C93A1C" w:rsidP="00C93A1C">
      <w:pPr>
        <w:pStyle w:val="BodyText"/>
        <w:spacing w:line="276" w:lineRule="auto"/>
        <w:ind w:right="121"/>
        <w:jc w:val="both"/>
        <w:rPr>
          <w:bCs/>
          <w:sz w:val="22"/>
          <w:szCs w:val="22"/>
          <w:lang w:val="fr-CA"/>
        </w:rPr>
      </w:pPr>
    </w:p>
    <w:p w14:paraId="7A23DB00" w14:textId="77777777" w:rsidR="00C93A1C" w:rsidRPr="0023545A" w:rsidRDefault="00C93A1C" w:rsidP="00C93A1C">
      <w:pPr>
        <w:pStyle w:val="BodyText"/>
        <w:spacing w:line="277" w:lineRule="auto"/>
        <w:ind w:right="121"/>
        <w:jc w:val="both"/>
        <w:rPr>
          <w:bCs/>
          <w:i/>
          <w:iCs/>
        </w:rPr>
      </w:pPr>
      <w:r>
        <w:rPr>
          <w:i/>
          <w:iCs/>
          <w:lang w:val="fr-CA"/>
        </w:rPr>
        <w:t xml:space="preserve">Source : competentboards.com </w:t>
      </w:r>
    </w:p>
    <w:p w14:paraId="42BFE540" w14:textId="77777777" w:rsidR="00C93A1C" w:rsidRDefault="00C93A1C" w:rsidP="00C93A1C">
      <w:pPr>
        <w:tabs>
          <w:tab w:val="left" w:pos="2580"/>
        </w:tabs>
        <w:rPr>
          <w:b/>
          <w:bCs/>
        </w:rPr>
      </w:pPr>
    </w:p>
    <w:p w14:paraId="3565ED4A" w14:textId="38DAEA8F" w:rsidR="00C93A1C" w:rsidRDefault="00C93A1C" w:rsidP="00C93A1C">
      <w:pPr>
        <w:tabs>
          <w:tab w:val="left" w:pos="2580"/>
        </w:tabs>
        <w:rPr>
          <w:b/>
          <w:bCs/>
        </w:rPr>
      </w:pPr>
      <w:r>
        <w:rPr>
          <w:b/>
          <w:bCs/>
        </w:rPr>
        <w:t>Description (EN)</w:t>
      </w:r>
    </w:p>
    <w:p w14:paraId="485348D7" w14:textId="77777777" w:rsidR="00282565" w:rsidRDefault="00282565" w:rsidP="00282565">
      <w:pPr>
        <w:jc w:val="both"/>
      </w:pPr>
      <w:r>
        <w:t>Directors are facing increased scrutiny around disclosure obligations following the Supreme Court of Canada’s recent Lundin decision. In Be It Resolved, host Rahul Bhardwaj, President and CEO of the Institute of Corporate Directors, speaks with Peter Dey, Chairman of the Advisory Board of Paradigm Capital and former Chair of the Ontario Securities Commission, about how boards should interpret material change, timeliness, and fiduciary responsibility in an evolving legal context.</w:t>
      </w:r>
    </w:p>
    <w:p w14:paraId="3E1E4556" w14:textId="77777777" w:rsidR="00282565" w:rsidRDefault="00282565" w:rsidP="00282565">
      <w:pPr>
        <w:jc w:val="both"/>
      </w:pPr>
      <w:r>
        <w:t>Drawing on decades of experience in governance and capital markets, the discussion examines how boards can balance the risks of premature and delayed disclosure, the importance of disciplined internal processes, and why accurate and timely information remains central to market integrity. While the decision has sharpened attention on disclosure practices, Peter emphasizes that boards already have a fit-for-purpose playbook, provided it is applied with sound judgment and clear oversight.</w:t>
      </w:r>
    </w:p>
    <w:p w14:paraId="66E36F82" w14:textId="77777777" w:rsidR="00C93A1C" w:rsidRDefault="00C93A1C" w:rsidP="00C93A1C">
      <w:pPr>
        <w:tabs>
          <w:tab w:val="left" w:pos="2580"/>
        </w:tabs>
        <w:rPr>
          <w:b/>
          <w:bCs/>
        </w:rPr>
      </w:pPr>
    </w:p>
    <w:p w14:paraId="4835E037" w14:textId="56AFCE99" w:rsidR="00C93A1C" w:rsidRPr="00C93A1C" w:rsidRDefault="00C93A1C" w:rsidP="00C93A1C">
      <w:pPr>
        <w:tabs>
          <w:tab w:val="left" w:pos="2580"/>
        </w:tabs>
        <w:rPr>
          <w:b/>
          <w:bCs/>
          <w:lang w:val="fr-CA"/>
        </w:rPr>
      </w:pPr>
      <w:r w:rsidRPr="00C93A1C">
        <w:rPr>
          <w:b/>
          <w:bCs/>
          <w:lang w:val="fr-CA"/>
        </w:rPr>
        <w:t>Description (FR)</w:t>
      </w:r>
    </w:p>
    <w:p w14:paraId="0C5FAF76" w14:textId="77777777" w:rsidR="00C93A1C" w:rsidRPr="00C93A1C" w:rsidRDefault="00C93A1C" w:rsidP="00C93A1C">
      <w:pPr>
        <w:rPr>
          <w:lang w:val="fr-CA"/>
        </w:rPr>
      </w:pPr>
      <w:r w:rsidRPr="00C93A1C">
        <w:rPr>
          <w:lang w:val="fr-CA"/>
        </w:rPr>
        <w:t xml:space="preserve">Les administratrices et administrateurs font face à une surveillance accrue des obligations de divulgation à la suite de la récente décision de la Cour suprême du Canada dans l’affaire Lundin. Dans cet épisode de Be It </w:t>
      </w:r>
      <w:proofErr w:type="spellStart"/>
      <w:r w:rsidRPr="00C93A1C">
        <w:rPr>
          <w:lang w:val="fr-CA"/>
        </w:rPr>
        <w:t>Resolved</w:t>
      </w:r>
      <w:proofErr w:type="spellEnd"/>
      <w:r w:rsidRPr="00C93A1C">
        <w:rPr>
          <w:lang w:val="fr-CA"/>
        </w:rPr>
        <w:t xml:space="preserve">, l’hôte, M. Rahul Bhardwaj, président et chef de la direction de l’Institut des administrateurs de sociétés, s’entretient avec M. Peter Dey, président du conseil consultatif de </w:t>
      </w:r>
      <w:proofErr w:type="spellStart"/>
      <w:r w:rsidRPr="00C93A1C">
        <w:rPr>
          <w:lang w:val="fr-CA"/>
        </w:rPr>
        <w:t>Paradigm</w:t>
      </w:r>
      <w:proofErr w:type="spellEnd"/>
      <w:r w:rsidRPr="00C93A1C">
        <w:rPr>
          <w:lang w:val="fr-CA"/>
        </w:rPr>
        <w:t xml:space="preserve"> Capital et président-sortant de la Commission des valeurs mobilières de l’Ontario, sur la manière dont les conseils </w:t>
      </w:r>
      <w:r w:rsidRPr="00C93A1C">
        <w:rPr>
          <w:lang w:val="fr-CA"/>
        </w:rPr>
        <w:lastRenderedPageBreak/>
        <w:t>d’administration doivent interpréter les changements importants, la rapidité et les responsabilités fiduciaires dans un contexte juridique en pleine évolution.</w:t>
      </w:r>
    </w:p>
    <w:p w14:paraId="1F935FD7" w14:textId="4DDAFF88" w:rsidR="00C93A1C" w:rsidRPr="00C93A1C" w:rsidRDefault="00C93A1C" w:rsidP="00C93A1C">
      <w:pPr>
        <w:rPr>
          <w:lang w:val="fr-CA"/>
        </w:rPr>
      </w:pPr>
      <w:r w:rsidRPr="00C93A1C">
        <w:rPr>
          <w:lang w:val="fr-CA"/>
        </w:rPr>
        <w:t>S’appuyant sur des décennies d’expérience en matière de gouvernance et de marchés financiers, la discussion examine la façon dont les conseils d’administration peuvent équilibrer les risques d’une divulgation prématurée ou tardive, l’importance de processus internes disciplinés et la raison pour laquelle des renseignements précis et opportuns demeurent essentiels à l’intégrité du marché. Si la décision a attiré l’attention sur les pratiques de divulgation, M. Dey souligne que les conseils d’administration disposent déjà d’une approche adaptée, à condition qu’elle soit mise en œuvre avec discernement et dans le cadre d’une surveillance claire.</w:t>
      </w:r>
    </w:p>
    <w:sectPr w:rsidR="00C93A1C" w:rsidRPr="00C93A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1C"/>
    <w:rsid w:val="0017686F"/>
    <w:rsid w:val="00282565"/>
    <w:rsid w:val="0080307E"/>
    <w:rsid w:val="00C8243C"/>
    <w:rsid w:val="00C93A1C"/>
    <w:rsid w:val="00CE1A9C"/>
    <w:rsid w:val="00DE4D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43D5"/>
  <w15:chartTrackingRefBased/>
  <w15:docId w15:val="{33A9271B-34BE-466E-92DE-465DCA7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A1C"/>
    <w:rPr>
      <w:rFonts w:eastAsiaTheme="majorEastAsia" w:cstheme="majorBidi"/>
      <w:color w:val="272727" w:themeColor="text1" w:themeTint="D8"/>
    </w:rPr>
  </w:style>
  <w:style w:type="paragraph" w:styleId="Title">
    <w:name w:val="Title"/>
    <w:basedOn w:val="Normal"/>
    <w:next w:val="Normal"/>
    <w:link w:val="TitleChar"/>
    <w:uiPriority w:val="10"/>
    <w:qFormat/>
    <w:rsid w:val="00C9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A1C"/>
    <w:pPr>
      <w:spacing w:before="160"/>
      <w:jc w:val="center"/>
    </w:pPr>
    <w:rPr>
      <w:i/>
      <w:iCs/>
      <w:color w:val="404040" w:themeColor="text1" w:themeTint="BF"/>
    </w:rPr>
  </w:style>
  <w:style w:type="character" w:customStyle="1" w:styleId="QuoteChar">
    <w:name w:val="Quote Char"/>
    <w:basedOn w:val="DefaultParagraphFont"/>
    <w:link w:val="Quote"/>
    <w:uiPriority w:val="29"/>
    <w:rsid w:val="00C93A1C"/>
    <w:rPr>
      <w:i/>
      <w:iCs/>
      <w:color w:val="404040" w:themeColor="text1" w:themeTint="BF"/>
    </w:rPr>
  </w:style>
  <w:style w:type="paragraph" w:styleId="ListParagraph">
    <w:name w:val="List Paragraph"/>
    <w:basedOn w:val="Normal"/>
    <w:uiPriority w:val="34"/>
    <w:qFormat/>
    <w:rsid w:val="00C93A1C"/>
    <w:pPr>
      <w:ind w:left="720"/>
      <w:contextualSpacing/>
    </w:pPr>
  </w:style>
  <w:style w:type="character" w:styleId="IntenseEmphasis">
    <w:name w:val="Intense Emphasis"/>
    <w:basedOn w:val="DefaultParagraphFont"/>
    <w:uiPriority w:val="21"/>
    <w:qFormat/>
    <w:rsid w:val="00C93A1C"/>
    <w:rPr>
      <w:i/>
      <w:iCs/>
      <w:color w:val="0F4761" w:themeColor="accent1" w:themeShade="BF"/>
    </w:rPr>
  </w:style>
  <w:style w:type="paragraph" w:styleId="IntenseQuote">
    <w:name w:val="Intense Quote"/>
    <w:basedOn w:val="Normal"/>
    <w:next w:val="Normal"/>
    <w:link w:val="IntenseQuoteChar"/>
    <w:uiPriority w:val="30"/>
    <w:qFormat/>
    <w:rsid w:val="00C9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A1C"/>
    <w:rPr>
      <w:i/>
      <w:iCs/>
      <w:color w:val="0F4761" w:themeColor="accent1" w:themeShade="BF"/>
    </w:rPr>
  </w:style>
  <w:style w:type="character" w:styleId="IntenseReference">
    <w:name w:val="Intense Reference"/>
    <w:basedOn w:val="DefaultParagraphFont"/>
    <w:uiPriority w:val="32"/>
    <w:qFormat/>
    <w:rsid w:val="00C93A1C"/>
    <w:rPr>
      <w:b/>
      <w:bCs/>
      <w:smallCaps/>
      <w:color w:val="0F4761" w:themeColor="accent1" w:themeShade="BF"/>
      <w:spacing w:val="5"/>
    </w:rPr>
  </w:style>
  <w:style w:type="paragraph" w:styleId="BodyText">
    <w:name w:val="Body Text"/>
    <w:basedOn w:val="Normal"/>
    <w:link w:val="BodyTextChar"/>
    <w:uiPriority w:val="1"/>
    <w:qFormat/>
    <w:rsid w:val="00C93A1C"/>
    <w:pPr>
      <w:widowControl w:val="0"/>
      <w:spacing w:after="0" w:line="240" w:lineRule="auto"/>
      <w:ind w:left="10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C93A1C"/>
    <w:rPr>
      <w:rFonts w:ascii="Tahoma" w:eastAsia="Tahoma" w:hAnsi="Tahoma"/>
      <w:kern w:val="0"/>
      <w:sz w:val="20"/>
      <w:szCs w:val="20"/>
      <w:lang w:val="en-US"/>
      <w14:ligatures w14:val="none"/>
    </w:rPr>
  </w:style>
  <w:style w:type="character" w:customStyle="1" w:styleId="A6">
    <w:name w:val="A6"/>
    <w:uiPriority w:val="99"/>
    <w:rsid w:val="00C93A1C"/>
    <w:rPr>
      <w:rFonts w:cs="AvenirNext LT Pro Regular"/>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858</Words>
  <Characters>4691</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Ovando</dc:creator>
  <cp:keywords/>
  <dc:description/>
  <cp:lastModifiedBy>Abena Kankam</cp:lastModifiedBy>
  <cp:revision>2</cp:revision>
  <dcterms:created xsi:type="dcterms:W3CDTF">2026-01-22T14:28:00Z</dcterms:created>
  <dcterms:modified xsi:type="dcterms:W3CDTF">2026-01-26T15:18:00Z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0f6a1055-bec3-4229-89ca-e40e703e8def</vt:lpwstr>
  </property>
</Properties>
</file>