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BE67" w14:textId="01DB231B" w:rsidR="00E37B5B" w:rsidRPr="005E0D70" w:rsidRDefault="00E37B5B" w:rsidP="00E37B5B">
      <w:pPr>
        <w:pStyle w:val="paragraph"/>
        <w:spacing w:before="0" w:beforeAutospacing="0" w:after="160" w:afterAutospacing="0"/>
        <w:ind w:left="1418" w:hanging="1418"/>
        <w:textAlignment w:val="baseline"/>
        <w:rPr>
          <w:rFonts w:ascii="Century Schoolbook" w:hAnsi="Century Schoolbook"/>
          <w:i/>
          <w:iCs/>
          <w:sz w:val="26"/>
          <w:szCs w:val="26"/>
        </w:rPr>
      </w:pPr>
      <w:r w:rsidRP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W</w:t>
      </w:r>
      <w:r w:rsid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hereas</w:t>
      </w:r>
      <w:r w:rsidRPr="005E0D70">
        <w:rPr>
          <w:rStyle w:val="eop"/>
          <w:rFonts w:ascii="Century Schoolbook" w:hAnsi="Century Schoolbook"/>
          <w:i/>
          <w:iCs/>
          <w:sz w:val="26"/>
          <w:szCs w:val="26"/>
        </w:rPr>
        <w:t>,</w:t>
      </w:r>
      <w:r w:rsidR="005E0D70">
        <w:rPr>
          <w:rStyle w:val="eop"/>
          <w:rFonts w:ascii="Century Schoolbook" w:hAnsi="Century Schoolbook"/>
          <w:i/>
          <w:iCs/>
          <w:sz w:val="26"/>
          <w:szCs w:val="26"/>
        </w:rPr>
        <w:tab/>
      </w:r>
      <w:r w:rsidRPr="005E0D70">
        <w:rPr>
          <w:rStyle w:val="normaltextrun"/>
          <w:rFonts w:ascii="Century Schoolbook" w:hAnsi="Century Schoolbook"/>
          <w:sz w:val="26"/>
          <w:szCs w:val="26"/>
        </w:rPr>
        <w:t xml:space="preserve">Michigan State University has launched the </w:t>
      </w:r>
      <w:r w:rsidRP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One Team, One Health (OTOH)</w:t>
      </w:r>
      <w:r w:rsidRPr="005E0D70">
        <w:rPr>
          <w:rStyle w:val="normaltextrun"/>
          <w:rFonts w:ascii="Century Schoolbook" w:hAnsi="Century Schoolbook"/>
          <w:sz w:val="26"/>
          <w:szCs w:val="26"/>
        </w:rPr>
        <w:t xml:space="preserve"> initiative to explore opportunities for stronger alignment and collaboration among health-related colleges and programs; and,</w:t>
      </w:r>
      <w:r w:rsidRPr="005E0D70">
        <w:rPr>
          <w:rStyle w:val="eop"/>
          <w:rFonts w:ascii="Century Schoolbook" w:hAnsi="Century Schoolbook"/>
          <w:sz w:val="26"/>
          <w:szCs w:val="26"/>
        </w:rPr>
        <w:t> </w:t>
      </w:r>
    </w:p>
    <w:p w14:paraId="008B847A" w14:textId="153BBE19" w:rsidR="00E37B5B" w:rsidRPr="005E0D70" w:rsidRDefault="00E37B5B" w:rsidP="0BC0F981">
      <w:pPr>
        <w:pStyle w:val="paragraph"/>
        <w:spacing w:before="0" w:beforeAutospacing="0" w:after="160" w:afterAutospacing="0"/>
        <w:ind w:left="1418" w:hanging="1418"/>
        <w:textAlignment w:val="baseline"/>
        <w:rPr>
          <w:rFonts w:ascii="Century Schoolbook" w:hAnsi="Century Schoolbook"/>
          <w:i/>
          <w:iCs/>
          <w:sz w:val="26"/>
          <w:szCs w:val="26"/>
        </w:rPr>
      </w:pPr>
      <w:r w:rsidRPr="0BC0F981">
        <w:rPr>
          <w:rStyle w:val="normaltextrun"/>
          <w:rFonts w:ascii="Century Schoolbook" w:hAnsi="Century Schoolbook"/>
          <w:i/>
          <w:iCs/>
          <w:sz w:val="26"/>
          <w:szCs w:val="26"/>
        </w:rPr>
        <w:t>W</w:t>
      </w:r>
      <w:r w:rsidR="005E0D70" w:rsidRPr="0BC0F981">
        <w:rPr>
          <w:rStyle w:val="normaltextrun"/>
          <w:rFonts w:ascii="Century Schoolbook" w:hAnsi="Century Schoolbook"/>
          <w:i/>
          <w:iCs/>
          <w:sz w:val="26"/>
          <w:szCs w:val="26"/>
        </w:rPr>
        <w:t>hereas</w:t>
      </w:r>
      <w:r w:rsidRPr="0BC0F981">
        <w:rPr>
          <w:rStyle w:val="eop"/>
          <w:rFonts w:ascii="Century Schoolbook" w:hAnsi="Century Schoolbook"/>
          <w:i/>
          <w:iCs/>
          <w:sz w:val="26"/>
          <w:szCs w:val="26"/>
        </w:rPr>
        <w:t>,</w:t>
      </w:r>
      <w:r>
        <w:tab/>
      </w:r>
      <w:r w:rsidRPr="0BC0F981">
        <w:rPr>
          <w:rStyle w:val="normaltextrun"/>
          <w:rFonts w:ascii="Century Schoolbook" w:hAnsi="Century Schoolbook"/>
          <w:sz w:val="26"/>
          <w:szCs w:val="26"/>
        </w:rPr>
        <w:t xml:space="preserve">A university-wide </w:t>
      </w:r>
      <w:r w:rsidRPr="0BC0F981">
        <w:rPr>
          <w:rStyle w:val="normaltextrun"/>
          <w:rFonts w:ascii="Century Schoolbook" w:hAnsi="Century Schoolbook"/>
          <w:i/>
          <w:iCs/>
          <w:sz w:val="26"/>
          <w:szCs w:val="26"/>
        </w:rPr>
        <w:t>One Team, One Health Faculty Survey</w:t>
      </w:r>
      <w:r w:rsidRPr="0BC0F981">
        <w:rPr>
          <w:rStyle w:val="normaltextrun"/>
          <w:rFonts w:ascii="Century Schoolbook" w:hAnsi="Century Schoolbook"/>
          <w:sz w:val="26"/>
          <w:szCs w:val="26"/>
        </w:rPr>
        <w:t xml:space="preserve"> was conducted to assess faculty perceptions, with participation from across the institution; and, faculty survey results were disseminated in aggregate and via six college-specific reports from: College of Nursing, College of Human Medicine, College of Osteopathic Medicine, College of Communication Arts and Sciences, College of Education, College of Agriculture and Natural Resources; and,</w:t>
      </w:r>
      <w:r w:rsidRPr="0BC0F981">
        <w:rPr>
          <w:rStyle w:val="eop"/>
          <w:rFonts w:ascii="Century Schoolbook" w:hAnsi="Century Schoolbook"/>
          <w:sz w:val="26"/>
          <w:szCs w:val="26"/>
        </w:rPr>
        <w:t> </w:t>
      </w:r>
    </w:p>
    <w:p w14:paraId="77DB6038" w14:textId="7A8D396A" w:rsidR="00E37B5B" w:rsidRPr="005E0D70" w:rsidRDefault="00E37B5B" w:rsidP="00E37B5B">
      <w:pPr>
        <w:pStyle w:val="paragraph"/>
        <w:spacing w:before="0" w:beforeAutospacing="0" w:after="160" w:afterAutospacing="0"/>
        <w:ind w:left="1418" w:hanging="1418"/>
        <w:textAlignment w:val="baseline"/>
        <w:rPr>
          <w:rFonts w:ascii="Century Schoolbook" w:hAnsi="Century Schoolbook"/>
          <w:i/>
          <w:iCs/>
          <w:sz w:val="26"/>
          <w:szCs w:val="26"/>
        </w:rPr>
      </w:pPr>
      <w:r w:rsidRP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W</w:t>
      </w:r>
      <w:r w:rsid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hereas</w:t>
      </w:r>
      <w:r w:rsidRPr="005E0D70">
        <w:rPr>
          <w:rStyle w:val="eop"/>
          <w:rFonts w:ascii="Century Schoolbook" w:hAnsi="Century Schoolbook"/>
          <w:i/>
          <w:iCs/>
          <w:sz w:val="26"/>
          <w:szCs w:val="26"/>
        </w:rPr>
        <w:t>,</w:t>
      </w:r>
      <w:r w:rsidR="005E0D70">
        <w:rPr>
          <w:rStyle w:val="eop"/>
          <w:rFonts w:ascii="Century Schoolbook" w:hAnsi="Century Schoolbook"/>
          <w:i/>
          <w:iCs/>
          <w:sz w:val="26"/>
          <w:szCs w:val="26"/>
        </w:rPr>
        <w:tab/>
      </w:r>
      <w:proofErr w:type="gramStart"/>
      <w:r w:rsidRPr="005E0D70">
        <w:rPr>
          <w:rStyle w:val="normaltextrun"/>
          <w:rFonts w:ascii="Century Schoolbook" w:hAnsi="Century Schoolbook"/>
          <w:sz w:val="26"/>
          <w:szCs w:val="26"/>
        </w:rPr>
        <w:t>The</w:t>
      </w:r>
      <w:proofErr w:type="gramEnd"/>
      <w:r w:rsidRPr="005E0D70">
        <w:rPr>
          <w:rStyle w:val="normaltextrun"/>
          <w:rFonts w:ascii="Century Schoolbook" w:hAnsi="Century Schoolbook"/>
          <w:sz w:val="26"/>
          <w:szCs w:val="26"/>
        </w:rPr>
        <w:t xml:space="preserve"> survey results indicate a broad spectrum of faculty perspectives, reflecting both support for the goals of interprofessional collaboration and concern about </w:t>
      </w:r>
      <w:r w:rsidRPr="005E0D70">
        <w:rPr>
          <w:rStyle w:val="normaltextrun"/>
          <w:rFonts w:ascii="Century Schoolbook" w:hAnsi="Century Schoolbook"/>
          <w:b/>
          <w:bCs/>
          <w:sz w:val="26"/>
          <w:szCs w:val="26"/>
        </w:rPr>
        <w:t>process transparency, communication, timing, financial implications, and accreditation risk related to potential college mergers</w:t>
      </w:r>
      <w:r w:rsidRPr="005E0D70">
        <w:rPr>
          <w:rStyle w:val="normaltextrun"/>
          <w:rFonts w:ascii="Century Schoolbook" w:hAnsi="Century Schoolbook"/>
          <w:sz w:val="26"/>
          <w:szCs w:val="26"/>
        </w:rPr>
        <w:t>; and,</w:t>
      </w:r>
      <w:r w:rsidRPr="005E0D70">
        <w:rPr>
          <w:rStyle w:val="eop"/>
          <w:rFonts w:ascii="Century Schoolbook" w:hAnsi="Century Schoolbook"/>
          <w:sz w:val="26"/>
          <w:szCs w:val="26"/>
        </w:rPr>
        <w:t> </w:t>
      </w:r>
    </w:p>
    <w:p w14:paraId="509CA7F8" w14:textId="0E08C1C0" w:rsidR="00E37B5B" w:rsidRPr="005E0D70" w:rsidRDefault="00E37B5B" w:rsidP="0BC0F981">
      <w:pPr>
        <w:pStyle w:val="paragraph"/>
        <w:spacing w:before="0" w:beforeAutospacing="0" w:after="160" w:afterAutospacing="0"/>
        <w:ind w:left="1418" w:hanging="1418"/>
        <w:textAlignment w:val="baseline"/>
        <w:rPr>
          <w:rFonts w:ascii="Century Schoolbook" w:hAnsi="Century Schoolbook"/>
          <w:i/>
          <w:iCs/>
          <w:sz w:val="26"/>
          <w:szCs w:val="26"/>
        </w:rPr>
      </w:pPr>
      <w:proofErr w:type="gramStart"/>
      <w:r w:rsidRPr="0BC0F981">
        <w:rPr>
          <w:rStyle w:val="normaltextrun"/>
          <w:rFonts w:ascii="Century Schoolbook" w:hAnsi="Century Schoolbook"/>
          <w:i/>
          <w:iCs/>
          <w:sz w:val="26"/>
          <w:szCs w:val="26"/>
        </w:rPr>
        <w:t>W</w:t>
      </w:r>
      <w:r w:rsidR="005E0D70" w:rsidRPr="0BC0F981">
        <w:rPr>
          <w:rStyle w:val="normaltextrun"/>
          <w:rFonts w:ascii="Century Schoolbook" w:hAnsi="Century Schoolbook"/>
          <w:i/>
          <w:iCs/>
          <w:sz w:val="26"/>
          <w:szCs w:val="26"/>
        </w:rPr>
        <w:t>hereas</w:t>
      </w:r>
      <w:r w:rsidRPr="0BC0F981">
        <w:rPr>
          <w:rStyle w:val="eop"/>
          <w:rFonts w:ascii="Century Schoolbook" w:hAnsi="Century Schoolbook"/>
          <w:i/>
          <w:iCs/>
          <w:sz w:val="26"/>
          <w:szCs w:val="26"/>
        </w:rPr>
        <w:t>,</w:t>
      </w:r>
      <w:proofErr w:type="gramEnd"/>
      <w:r>
        <w:tab/>
      </w:r>
      <w:r w:rsidRPr="0BC0F981">
        <w:rPr>
          <w:rStyle w:val="normaltextrun"/>
          <w:rFonts w:ascii="Century Schoolbook" w:hAnsi="Century Schoolbook"/>
          <w:sz w:val="26"/>
          <w:szCs w:val="26"/>
        </w:rPr>
        <w:t>Survey data demonstrate that while a majority of faculty support increased collaboration, the majority of College of Nursing and College of Human Medicine faculty do not support a merger at this time, and College of Osteopathic Medicine Faculty are divided with regards to a merger, highlighting the need for deeper stakeholder engagement; and,</w:t>
      </w:r>
      <w:r w:rsidRPr="0BC0F981">
        <w:rPr>
          <w:rStyle w:val="eop"/>
          <w:rFonts w:ascii="Century Schoolbook" w:hAnsi="Century Schoolbook"/>
          <w:sz w:val="26"/>
          <w:szCs w:val="26"/>
        </w:rPr>
        <w:t> </w:t>
      </w:r>
    </w:p>
    <w:p w14:paraId="73B8FCC3" w14:textId="44F43B21" w:rsidR="00E37B5B" w:rsidRPr="005E0D70" w:rsidRDefault="00E37B5B" w:rsidP="00E37B5B">
      <w:pPr>
        <w:pStyle w:val="paragraph"/>
        <w:spacing w:before="0" w:beforeAutospacing="0" w:after="160" w:afterAutospacing="0"/>
        <w:ind w:left="1418" w:hanging="1418"/>
        <w:textAlignment w:val="baseline"/>
        <w:rPr>
          <w:rStyle w:val="eop"/>
          <w:rFonts w:ascii="Century Schoolbook" w:hAnsi="Century Schoolbook"/>
          <w:sz w:val="26"/>
          <w:szCs w:val="26"/>
        </w:rPr>
      </w:pPr>
      <w:r w:rsidRP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W</w:t>
      </w:r>
      <w:r w:rsid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hereas</w:t>
      </w:r>
      <w:r w:rsidRPr="005E0D70">
        <w:rPr>
          <w:rStyle w:val="eop"/>
          <w:rFonts w:ascii="Century Schoolbook" w:hAnsi="Century Schoolbook"/>
          <w:i/>
          <w:iCs/>
          <w:sz w:val="26"/>
          <w:szCs w:val="26"/>
        </w:rPr>
        <w:t>,</w:t>
      </w:r>
      <w:r w:rsidR="005E0D70">
        <w:rPr>
          <w:rStyle w:val="eop"/>
          <w:rFonts w:ascii="Century Schoolbook" w:hAnsi="Century Schoolbook"/>
          <w:i/>
          <w:iCs/>
          <w:sz w:val="26"/>
          <w:szCs w:val="26"/>
        </w:rPr>
        <w:tab/>
      </w:r>
      <w:r w:rsidRPr="005E0D70">
        <w:rPr>
          <w:rStyle w:val="normaltextrun"/>
          <w:rFonts w:ascii="Century Schoolbook" w:hAnsi="Century Schoolbook"/>
          <w:sz w:val="26"/>
          <w:szCs w:val="26"/>
        </w:rPr>
        <w:t xml:space="preserve">Faculty comments also emphasize the need for greater transparency, inclusive communication, and access to the rationale, data, and financial analysis underlying proposed structural changes; and distrust stemming from prior organizational changes, such as the creation </w:t>
      </w:r>
      <w:proofErr w:type="gramStart"/>
      <w:r w:rsidRPr="005E0D70">
        <w:rPr>
          <w:rStyle w:val="normaltextrun"/>
          <w:rFonts w:ascii="Century Schoolbook" w:hAnsi="Century Schoolbook"/>
          <w:sz w:val="26"/>
          <w:szCs w:val="26"/>
        </w:rPr>
        <w:t>of  the</w:t>
      </w:r>
      <w:proofErr w:type="gramEnd"/>
      <w:r w:rsidRPr="005E0D70">
        <w:rPr>
          <w:rStyle w:val="normaltextrun"/>
          <w:rFonts w:ascii="Century Schoolbook" w:hAnsi="Century Schoolbook"/>
          <w:sz w:val="26"/>
          <w:szCs w:val="26"/>
        </w:rPr>
        <w:t xml:space="preserve"> </w:t>
      </w:r>
      <w:r w:rsidRP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Office of Health Sciences (OHS)</w:t>
      </w:r>
      <w:r w:rsidRPr="005E0D70">
        <w:rPr>
          <w:rStyle w:val="normaltextrun"/>
          <w:rFonts w:ascii="Century Schoolbook" w:hAnsi="Century Schoolbook"/>
          <w:sz w:val="26"/>
          <w:szCs w:val="26"/>
        </w:rPr>
        <w:t>, underscoring the importance of open dialogue and shared governance moving forward;</w:t>
      </w:r>
      <w:r w:rsidRPr="005E0D70">
        <w:rPr>
          <w:rStyle w:val="eop"/>
          <w:rFonts w:ascii="Century Schoolbook" w:hAnsi="Century Schoolbook"/>
          <w:sz w:val="26"/>
          <w:szCs w:val="26"/>
        </w:rPr>
        <w:t> Therefore, be it,</w:t>
      </w:r>
    </w:p>
    <w:p w14:paraId="278C470C" w14:textId="155773E8" w:rsidR="00E37B5B" w:rsidRPr="005E0D70" w:rsidRDefault="00E37B5B" w:rsidP="00E37B5B">
      <w:pPr>
        <w:pStyle w:val="paragraph"/>
        <w:spacing w:before="0" w:beforeAutospacing="0" w:after="160" w:afterAutospacing="0"/>
        <w:ind w:left="1418" w:hanging="1418"/>
        <w:textAlignment w:val="baseline"/>
        <w:rPr>
          <w:rFonts w:ascii="Century Schoolbook" w:hAnsi="Century Schoolbook"/>
          <w:sz w:val="26"/>
          <w:szCs w:val="26"/>
        </w:rPr>
      </w:pPr>
      <w:r w:rsidRP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R</w:t>
      </w:r>
      <w:r w:rsid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esolved</w:t>
      </w:r>
      <w:r w:rsidRPr="005E0D70">
        <w:rPr>
          <w:rStyle w:val="normaltextrun"/>
          <w:rFonts w:ascii="Century Schoolbook" w:hAnsi="Century Schoolbook"/>
          <w:b/>
          <w:bCs/>
          <w:sz w:val="26"/>
          <w:szCs w:val="26"/>
        </w:rPr>
        <w:t>,</w:t>
      </w:r>
      <w:r w:rsidR="005E0D70">
        <w:rPr>
          <w:rStyle w:val="normaltextrun"/>
          <w:rFonts w:ascii="Century Schoolbook" w:hAnsi="Century Schoolbook"/>
          <w:b/>
          <w:bCs/>
          <w:sz w:val="26"/>
          <w:szCs w:val="26"/>
        </w:rPr>
        <w:tab/>
      </w:r>
      <w:r w:rsidRPr="005E0D70">
        <w:rPr>
          <w:rStyle w:val="normaltextrun"/>
          <w:rFonts w:ascii="Century Schoolbook" w:hAnsi="Century Schoolbook"/>
          <w:sz w:val="26"/>
          <w:szCs w:val="26"/>
        </w:rPr>
        <w:t>That the University shall increase transparency and stakeholder engagement in the OTOH process by:</w:t>
      </w:r>
      <w:r w:rsidRPr="005E0D70">
        <w:rPr>
          <w:rStyle w:val="eop"/>
          <w:rFonts w:ascii="Century Schoolbook" w:hAnsi="Century Schoolbook"/>
          <w:sz w:val="26"/>
          <w:szCs w:val="26"/>
        </w:rPr>
        <w:t> </w:t>
      </w:r>
    </w:p>
    <w:p w14:paraId="4B8E5181" w14:textId="402D900B" w:rsidR="00E37B5B" w:rsidRPr="005E0D70" w:rsidRDefault="00E37B5B" w:rsidP="00E37B5B">
      <w:pPr>
        <w:pStyle w:val="paragraph"/>
        <w:numPr>
          <w:ilvl w:val="0"/>
          <w:numId w:val="17"/>
        </w:numPr>
        <w:textAlignment w:val="baseline"/>
        <w:rPr>
          <w:rStyle w:val="eop"/>
          <w:rFonts w:ascii="Century Schoolbook" w:hAnsi="Century Schoolbook"/>
          <w:sz w:val="26"/>
          <w:szCs w:val="26"/>
        </w:rPr>
      </w:pPr>
      <w:r w:rsidRPr="005E0D70">
        <w:rPr>
          <w:rStyle w:val="normaltextrun"/>
          <w:rFonts w:ascii="Century Schoolbook" w:hAnsi="Century Schoolbook"/>
          <w:sz w:val="26"/>
          <w:szCs w:val="26"/>
        </w:rPr>
        <w:t xml:space="preserve">Sharing clear rationales, supporting data, and evidence from peer institutions regarding proposed </w:t>
      </w:r>
      <w:proofErr w:type="gramStart"/>
      <w:r w:rsidRPr="005E0D70">
        <w:rPr>
          <w:rStyle w:val="normaltextrun"/>
          <w:rFonts w:ascii="Century Schoolbook" w:hAnsi="Century Schoolbook"/>
          <w:sz w:val="26"/>
          <w:szCs w:val="26"/>
        </w:rPr>
        <w:t>changes;</w:t>
      </w:r>
      <w:proofErr w:type="gramEnd"/>
      <w:r w:rsidRPr="005E0D70">
        <w:rPr>
          <w:rStyle w:val="eop"/>
          <w:rFonts w:ascii="Century Schoolbook" w:hAnsi="Century Schoolbook"/>
          <w:sz w:val="26"/>
          <w:szCs w:val="26"/>
        </w:rPr>
        <w:t> </w:t>
      </w:r>
    </w:p>
    <w:p w14:paraId="2DD9A84B" w14:textId="77777777" w:rsidR="00E37B5B" w:rsidRPr="005E0D70" w:rsidRDefault="00E37B5B" w:rsidP="00E37B5B">
      <w:pPr>
        <w:pStyle w:val="paragraph"/>
        <w:numPr>
          <w:ilvl w:val="0"/>
          <w:numId w:val="17"/>
        </w:numPr>
        <w:textAlignment w:val="baseline"/>
        <w:rPr>
          <w:rStyle w:val="eop"/>
          <w:rFonts w:ascii="Century Schoolbook" w:hAnsi="Century Schoolbook"/>
          <w:sz w:val="26"/>
          <w:szCs w:val="26"/>
        </w:rPr>
      </w:pPr>
      <w:r w:rsidRPr="005E0D70">
        <w:rPr>
          <w:rStyle w:val="normaltextrun"/>
          <w:rFonts w:ascii="Century Schoolbook" w:hAnsi="Century Schoolbook"/>
          <w:sz w:val="26"/>
          <w:szCs w:val="26"/>
        </w:rPr>
        <w:t>Posting Task Force and Council meeting minutes, providing draft Task Force reports with an open comment period, and other relevant updates on a publicly accessible OTOH website; and</w:t>
      </w:r>
      <w:r w:rsidRPr="005E0D70">
        <w:rPr>
          <w:rStyle w:val="eop"/>
          <w:rFonts w:ascii="Century Schoolbook" w:hAnsi="Century Schoolbook"/>
          <w:sz w:val="26"/>
          <w:szCs w:val="26"/>
        </w:rPr>
        <w:t> </w:t>
      </w:r>
    </w:p>
    <w:p w14:paraId="121A0457" w14:textId="2CA070A3" w:rsidR="00E37B5B" w:rsidRPr="005E0D70" w:rsidRDefault="00E37B5B" w:rsidP="00E37B5B">
      <w:pPr>
        <w:pStyle w:val="paragraph"/>
        <w:numPr>
          <w:ilvl w:val="0"/>
          <w:numId w:val="17"/>
        </w:numPr>
        <w:textAlignment w:val="baseline"/>
        <w:rPr>
          <w:rStyle w:val="eop"/>
          <w:rFonts w:ascii="Century Schoolbook" w:hAnsi="Century Schoolbook"/>
          <w:sz w:val="26"/>
          <w:szCs w:val="26"/>
        </w:rPr>
      </w:pPr>
      <w:r w:rsidRPr="005E0D70">
        <w:rPr>
          <w:rStyle w:val="normaltextrun"/>
          <w:rFonts w:ascii="Century Schoolbook" w:hAnsi="Century Schoolbook"/>
          <w:sz w:val="26"/>
          <w:szCs w:val="26"/>
        </w:rPr>
        <w:lastRenderedPageBreak/>
        <w:t>Demonstrating how stakeholder feedback, including from faculty, staff, and students, has been meaningfully incorporated into recommendations and decisions</w:t>
      </w:r>
      <w:r w:rsidR="00EF4794" w:rsidRPr="005E0D70">
        <w:rPr>
          <w:rStyle w:val="normaltextrun"/>
          <w:rFonts w:ascii="Century Schoolbook" w:hAnsi="Century Schoolbook"/>
          <w:sz w:val="26"/>
          <w:szCs w:val="26"/>
        </w:rPr>
        <w:t xml:space="preserve">; and </w:t>
      </w:r>
    </w:p>
    <w:p w14:paraId="0B252ED6" w14:textId="0618CD89" w:rsidR="00E37B5B" w:rsidRPr="005E0D70" w:rsidRDefault="00E37B5B" w:rsidP="00E37B5B">
      <w:pPr>
        <w:pStyle w:val="paragraph"/>
        <w:ind w:left="1418" w:hanging="1418"/>
        <w:textAlignment w:val="baseline"/>
        <w:rPr>
          <w:rStyle w:val="eop"/>
          <w:rFonts w:ascii="Century Schoolbook" w:hAnsi="Century Schoolbook"/>
          <w:sz w:val="26"/>
          <w:szCs w:val="26"/>
        </w:rPr>
      </w:pPr>
      <w:r w:rsidRPr="005E0D70">
        <w:rPr>
          <w:rStyle w:val="eop"/>
          <w:rFonts w:ascii="Century Schoolbook" w:hAnsi="Century Schoolbook"/>
          <w:i/>
          <w:iCs/>
          <w:sz w:val="26"/>
          <w:szCs w:val="26"/>
        </w:rPr>
        <w:t>R</w:t>
      </w:r>
      <w:r w:rsidR="005E0D70">
        <w:rPr>
          <w:rStyle w:val="eop"/>
          <w:rFonts w:ascii="Century Schoolbook" w:hAnsi="Century Schoolbook"/>
          <w:i/>
          <w:iCs/>
          <w:sz w:val="26"/>
          <w:szCs w:val="26"/>
        </w:rPr>
        <w:t>esolved</w:t>
      </w:r>
      <w:r w:rsidRPr="005E0D70">
        <w:rPr>
          <w:rStyle w:val="eop"/>
          <w:rFonts w:ascii="Century Schoolbook" w:hAnsi="Century Schoolbook"/>
          <w:i/>
          <w:iCs/>
          <w:sz w:val="26"/>
          <w:szCs w:val="26"/>
        </w:rPr>
        <w:t>,</w:t>
      </w:r>
      <w:r w:rsidR="005E0D70">
        <w:rPr>
          <w:rStyle w:val="eop"/>
          <w:rFonts w:ascii="Century Schoolbook" w:hAnsi="Century Schoolbook"/>
          <w:sz w:val="26"/>
          <w:szCs w:val="26"/>
        </w:rPr>
        <w:tab/>
      </w:r>
      <w:r w:rsidRPr="005E0D70">
        <w:rPr>
          <w:rStyle w:val="eop"/>
          <w:rFonts w:ascii="Century Schoolbook" w:hAnsi="Century Schoolbook"/>
          <w:sz w:val="26"/>
          <w:szCs w:val="26"/>
        </w:rPr>
        <w:t>That</w:t>
      </w:r>
      <w:r w:rsidRPr="005E0D70">
        <w:rPr>
          <w:rFonts w:ascii="Century Schoolbook" w:hAnsi="Century Schoolbook"/>
          <w:sz w:val="26"/>
          <w:szCs w:val="26"/>
        </w:rPr>
        <w:t xml:space="preserve"> </w:t>
      </w:r>
      <w:r w:rsidRPr="005E0D70">
        <w:rPr>
          <w:rStyle w:val="normaltextrun"/>
          <w:rFonts w:ascii="Century Schoolbook" w:hAnsi="Century Schoolbook"/>
          <w:sz w:val="26"/>
          <w:szCs w:val="26"/>
        </w:rPr>
        <w:t xml:space="preserve">the University shall </w:t>
      </w:r>
      <w:r w:rsidRPr="005E0D70">
        <w:rPr>
          <w:rStyle w:val="normaltextrun"/>
          <w:rFonts w:ascii="Century Schoolbook" w:hAnsi="Century Schoolbook"/>
          <w:b/>
          <w:bCs/>
          <w:sz w:val="26"/>
          <w:szCs w:val="26"/>
        </w:rPr>
        <w:t>commit to open discussion</w:t>
      </w:r>
      <w:r w:rsidRPr="005E0D70">
        <w:rPr>
          <w:rStyle w:val="normaltextrun"/>
          <w:rFonts w:ascii="Century Schoolbook" w:hAnsi="Century Schoolbook"/>
          <w:sz w:val="26"/>
          <w:szCs w:val="26"/>
        </w:rPr>
        <w:t xml:space="preserve"> of the risks, costs, potential disruptions, and anticipated benefits of any proposed mergers or structural realignments </w:t>
      </w:r>
      <w:r w:rsidRP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prior to action</w:t>
      </w:r>
      <w:r w:rsidRPr="005E0D70">
        <w:rPr>
          <w:rStyle w:val="normaltextrun"/>
          <w:rFonts w:ascii="Century Schoolbook" w:hAnsi="Century Schoolbook"/>
          <w:sz w:val="26"/>
          <w:szCs w:val="26"/>
        </w:rPr>
        <w:t>.  This process should ensure that affected stakeholders have genuine opportunities to review data, ask questions, and propose alternatives through established faculty governance mechanisms</w:t>
      </w:r>
      <w:r w:rsidR="00EF4794" w:rsidRPr="005E0D70">
        <w:rPr>
          <w:rStyle w:val="normaltextrun"/>
          <w:rFonts w:ascii="Century Schoolbook" w:hAnsi="Century Schoolbook"/>
          <w:sz w:val="26"/>
          <w:szCs w:val="26"/>
        </w:rPr>
        <w:t>; and</w:t>
      </w:r>
    </w:p>
    <w:p w14:paraId="5E5FE311" w14:textId="29BAE589" w:rsidR="00EF4794" w:rsidRPr="005E0D70" w:rsidRDefault="00EF4794" w:rsidP="00EF4794">
      <w:pPr>
        <w:pStyle w:val="paragraph"/>
        <w:ind w:left="1418" w:hanging="1418"/>
        <w:textAlignment w:val="baseline"/>
        <w:rPr>
          <w:rStyle w:val="normaltextrun"/>
          <w:rFonts w:ascii="Century Schoolbook" w:hAnsi="Century Schoolbook"/>
          <w:sz w:val="26"/>
          <w:szCs w:val="26"/>
        </w:rPr>
      </w:pPr>
      <w:r w:rsidRPr="005E0D70">
        <w:rPr>
          <w:rStyle w:val="eop"/>
          <w:rFonts w:ascii="Century Schoolbook" w:hAnsi="Century Schoolbook"/>
          <w:i/>
          <w:iCs/>
          <w:sz w:val="26"/>
          <w:szCs w:val="26"/>
        </w:rPr>
        <w:t>R</w:t>
      </w:r>
      <w:r w:rsidR="005E0D70">
        <w:rPr>
          <w:rStyle w:val="eop"/>
          <w:rFonts w:ascii="Century Schoolbook" w:hAnsi="Century Schoolbook"/>
          <w:i/>
          <w:iCs/>
          <w:sz w:val="26"/>
          <w:szCs w:val="26"/>
        </w:rPr>
        <w:t>esolved</w:t>
      </w:r>
      <w:r w:rsidRPr="005E0D70">
        <w:rPr>
          <w:rStyle w:val="eop"/>
          <w:rFonts w:ascii="Century Schoolbook" w:hAnsi="Century Schoolbook"/>
          <w:i/>
          <w:iCs/>
          <w:sz w:val="26"/>
          <w:szCs w:val="26"/>
        </w:rPr>
        <w:t>,</w:t>
      </w:r>
      <w:r w:rsidR="005E0D70">
        <w:rPr>
          <w:rStyle w:val="eop"/>
          <w:rFonts w:ascii="Century Schoolbook" w:hAnsi="Century Schoolbook"/>
          <w:i/>
          <w:iCs/>
          <w:sz w:val="26"/>
          <w:szCs w:val="26"/>
        </w:rPr>
        <w:tab/>
      </w:r>
      <w:r w:rsidRPr="005E0D70">
        <w:rPr>
          <w:rStyle w:val="eop"/>
          <w:rFonts w:ascii="Century Schoolbook" w:hAnsi="Century Schoolbook"/>
          <w:sz w:val="26"/>
          <w:szCs w:val="26"/>
        </w:rPr>
        <w:t xml:space="preserve">That </w:t>
      </w:r>
      <w:r w:rsidRPr="005E0D70">
        <w:rPr>
          <w:rStyle w:val="normaltextrun"/>
          <w:rFonts w:ascii="Century Schoolbook" w:hAnsi="Century Schoolbook"/>
          <w:sz w:val="26"/>
          <w:szCs w:val="26"/>
        </w:rPr>
        <w:t>t</w:t>
      </w:r>
      <w:r w:rsidR="00E37B5B" w:rsidRPr="005E0D70">
        <w:rPr>
          <w:rStyle w:val="normaltextrun"/>
          <w:rFonts w:ascii="Century Schoolbook" w:hAnsi="Century Schoolbook"/>
          <w:sz w:val="26"/>
          <w:szCs w:val="26"/>
        </w:rPr>
        <w:t xml:space="preserve">he University should </w:t>
      </w:r>
      <w:r w:rsidR="00E37B5B" w:rsidRPr="005E0D70">
        <w:rPr>
          <w:rStyle w:val="normaltextrun"/>
          <w:rFonts w:ascii="Century Schoolbook" w:hAnsi="Century Schoolbook"/>
          <w:b/>
          <w:bCs/>
          <w:sz w:val="26"/>
          <w:szCs w:val="26"/>
        </w:rPr>
        <w:t>extend the OTOH planning timeline by at least one year</w:t>
      </w:r>
      <w:r w:rsidR="00E37B5B" w:rsidRPr="005E0D70">
        <w:rPr>
          <w:rStyle w:val="normaltextrun"/>
          <w:rFonts w:ascii="Century Schoolbook" w:hAnsi="Century Schoolbook"/>
          <w:sz w:val="26"/>
          <w:szCs w:val="26"/>
        </w:rPr>
        <w:t>, providing time for evidence-based evaluation, financial analysis, and inclusive faculty consultation. This deliberate pace will strengthen trust, avoid unnecessary disruption, and promote shared ownership of any resulting changes</w:t>
      </w:r>
      <w:r w:rsidRPr="005E0D70">
        <w:rPr>
          <w:rStyle w:val="normaltextrun"/>
          <w:rFonts w:ascii="Century Schoolbook" w:hAnsi="Century Schoolbook"/>
          <w:sz w:val="26"/>
          <w:szCs w:val="26"/>
        </w:rPr>
        <w:t xml:space="preserve">; and </w:t>
      </w:r>
    </w:p>
    <w:p w14:paraId="26AF2EA5" w14:textId="7A17371C" w:rsidR="00E37B5B" w:rsidRPr="005E0D70" w:rsidRDefault="00EF4794" w:rsidP="00EF4794">
      <w:pPr>
        <w:pStyle w:val="paragraph"/>
        <w:ind w:left="1418" w:hanging="1418"/>
        <w:textAlignment w:val="baseline"/>
        <w:rPr>
          <w:rFonts w:ascii="Century Schoolbook" w:hAnsi="Century Schoolbook"/>
          <w:sz w:val="26"/>
          <w:szCs w:val="26"/>
        </w:rPr>
      </w:pPr>
      <w:r w:rsidRPr="005E0D70">
        <w:rPr>
          <w:rStyle w:val="eop"/>
          <w:rFonts w:ascii="Century Schoolbook" w:hAnsi="Century Schoolbook"/>
          <w:i/>
          <w:iCs/>
          <w:sz w:val="26"/>
          <w:szCs w:val="26"/>
        </w:rPr>
        <w:t>R</w:t>
      </w:r>
      <w:r w:rsidR="005E0D70">
        <w:rPr>
          <w:rStyle w:val="eop"/>
          <w:rFonts w:ascii="Century Schoolbook" w:hAnsi="Century Schoolbook"/>
          <w:i/>
          <w:iCs/>
          <w:sz w:val="26"/>
          <w:szCs w:val="26"/>
        </w:rPr>
        <w:t>esolved</w:t>
      </w:r>
      <w:r w:rsidRPr="005E0D70">
        <w:rPr>
          <w:rStyle w:val="eop"/>
          <w:rFonts w:ascii="Century Schoolbook" w:hAnsi="Century Schoolbook"/>
          <w:i/>
          <w:iCs/>
          <w:sz w:val="26"/>
          <w:szCs w:val="26"/>
        </w:rPr>
        <w:t>,</w:t>
      </w:r>
      <w:r w:rsidR="005E0D70">
        <w:rPr>
          <w:rStyle w:val="eop"/>
          <w:rFonts w:ascii="Century Schoolbook" w:hAnsi="Century Schoolbook"/>
          <w:sz w:val="26"/>
          <w:szCs w:val="26"/>
        </w:rPr>
        <w:tab/>
      </w:r>
      <w:r w:rsidRPr="005E0D70">
        <w:rPr>
          <w:rStyle w:val="eop"/>
          <w:rFonts w:ascii="Century Schoolbook" w:hAnsi="Century Schoolbook"/>
          <w:sz w:val="26"/>
          <w:szCs w:val="26"/>
        </w:rPr>
        <w:t>That t</w:t>
      </w:r>
      <w:r w:rsidR="00E37B5B" w:rsidRPr="005E0D70">
        <w:rPr>
          <w:rStyle w:val="normaltextrun"/>
          <w:rFonts w:ascii="Century Schoolbook" w:hAnsi="Century Schoolbook"/>
          <w:sz w:val="26"/>
          <w:szCs w:val="26"/>
        </w:rPr>
        <w:t>he University shall provide transparent financial information regarding all OTOH-related activities, including:</w:t>
      </w:r>
      <w:r w:rsidR="00E37B5B" w:rsidRPr="005E0D70">
        <w:rPr>
          <w:rStyle w:val="eop"/>
          <w:rFonts w:ascii="Century Schoolbook" w:hAnsi="Century Schoolbook"/>
          <w:sz w:val="26"/>
          <w:szCs w:val="26"/>
        </w:rPr>
        <w:t> </w:t>
      </w:r>
    </w:p>
    <w:p w14:paraId="299D32EE" w14:textId="33D3807A" w:rsidR="00E37B5B" w:rsidRPr="005E0D70" w:rsidRDefault="00E37B5B" w:rsidP="00EF4794">
      <w:pPr>
        <w:pStyle w:val="paragraph"/>
        <w:numPr>
          <w:ilvl w:val="0"/>
          <w:numId w:val="18"/>
        </w:numPr>
        <w:textAlignment w:val="baseline"/>
        <w:rPr>
          <w:rStyle w:val="eop"/>
          <w:rFonts w:ascii="Century Schoolbook" w:hAnsi="Century Schoolbook"/>
          <w:sz w:val="26"/>
          <w:szCs w:val="26"/>
        </w:rPr>
      </w:pPr>
      <w:r w:rsidRPr="005E0D70">
        <w:rPr>
          <w:rStyle w:val="normaltextrun"/>
          <w:rFonts w:ascii="Century Schoolbook" w:hAnsi="Century Schoolbook"/>
          <w:sz w:val="26"/>
          <w:szCs w:val="26"/>
        </w:rPr>
        <w:t xml:space="preserve">Projected and actual costs of potential mergers or </w:t>
      </w:r>
      <w:proofErr w:type="gramStart"/>
      <w:r w:rsidRPr="005E0D70">
        <w:rPr>
          <w:rStyle w:val="normaltextrun"/>
          <w:rFonts w:ascii="Century Schoolbook" w:hAnsi="Century Schoolbook"/>
          <w:sz w:val="26"/>
          <w:szCs w:val="26"/>
        </w:rPr>
        <w:t>restructurings;</w:t>
      </w:r>
      <w:proofErr w:type="gramEnd"/>
      <w:r w:rsidRPr="005E0D70">
        <w:rPr>
          <w:rStyle w:val="eop"/>
          <w:rFonts w:ascii="Century Schoolbook" w:hAnsi="Century Schoolbook"/>
          <w:sz w:val="26"/>
          <w:szCs w:val="26"/>
        </w:rPr>
        <w:t> </w:t>
      </w:r>
    </w:p>
    <w:p w14:paraId="0EB796C7" w14:textId="77777777" w:rsidR="00E37B5B" w:rsidRPr="005E0D70" w:rsidRDefault="00E37B5B" w:rsidP="00EF4794">
      <w:pPr>
        <w:pStyle w:val="paragraph"/>
        <w:numPr>
          <w:ilvl w:val="0"/>
          <w:numId w:val="18"/>
        </w:numPr>
        <w:textAlignment w:val="baseline"/>
        <w:rPr>
          <w:rStyle w:val="eop"/>
          <w:rFonts w:ascii="Century Schoolbook" w:hAnsi="Century Schoolbook"/>
          <w:sz w:val="26"/>
          <w:szCs w:val="26"/>
        </w:rPr>
      </w:pPr>
      <w:r w:rsidRPr="005E0D70">
        <w:rPr>
          <w:rStyle w:val="normaltextrun"/>
          <w:rFonts w:ascii="Century Schoolbook" w:hAnsi="Century Schoolbook"/>
          <w:sz w:val="26"/>
          <w:szCs w:val="26"/>
        </w:rPr>
        <w:t>Clarification of anticipated savings and/or future return on investments, efficiencies, and impacts on administrative structures; and</w:t>
      </w:r>
      <w:r w:rsidRPr="005E0D70">
        <w:rPr>
          <w:rStyle w:val="eop"/>
          <w:rFonts w:ascii="Century Schoolbook" w:hAnsi="Century Schoolbook"/>
          <w:sz w:val="26"/>
          <w:szCs w:val="26"/>
        </w:rPr>
        <w:t> </w:t>
      </w:r>
    </w:p>
    <w:p w14:paraId="107AD8FE" w14:textId="77777777" w:rsidR="00EF4794" w:rsidRPr="005E0D70" w:rsidRDefault="00E37B5B" w:rsidP="00EF4794">
      <w:pPr>
        <w:pStyle w:val="paragraph"/>
        <w:numPr>
          <w:ilvl w:val="0"/>
          <w:numId w:val="18"/>
        </w:numPr>
        <w:textAlignment w:val="baseline"/>
        <w:rPr>
          <w:rStyle w:val="normaltextrun"/>
          <w:rFonts w:ascii="Century Schoolbook" w:hAnsi="Century Schoolbook"/>
          <w:sz w:val="26"/>
          <w:szCs w:val="26"/>
        </w:rPr>
      </w:pPr>
      <w:r w:rsidRPr="005E0D70">
        <w:rPr>
          <w:rStyle w:val="normaltextrun"/>
          <w:rFonts w:ascii="Century Schoolbook" w:hAnsi="Century Schoolbook"/>
          <w:sz w:val="26"/>
          <w:szCs w:val="26"/>
        </w:rPr>
        <w:t>Assurance that existing research funding, infrastructure, and personnel in units will be preserved unless there is clear rationale for an alternative plan</w:t>
      </w:r>
      <w:r w:rsidR="00EF4794" w:rsidRPr="005E0D70">
        <w:rPr>
          <w:rStyle w:val="normaltextrun"/>
          <w:rFonts w:ascii="Century Schoolbook" w:hAnsi="Century Schoolbook"/>
          <w:sz w:val="26"/>
          <w:szCs w:val="26"/>
        </w:rPr>
        <w:t xml:space="preserve">; and </w:t>
      </w:r>
    </w:p>
    <w:p w14:paraId="49D05EAA" w14:textId="5CE8D348" w:rsidR="00E37B5B" w:rsidRPr="005E0D70" w:rsidRDefault="00EF4794" w:rsidP="00EF4794">
      <w:pPr>
        <w:pStyle w:val="paragraph"/>
        <w:ind w:left="1418" w:hanging="1418"/>
        <w:textAlignment w:val="baseline"/>
        <w:rPr>
          <w:rStyle w:val="eop"/>
          <w:rFonts w:ascii="Century Schoolbook" w:hAnsi="Century Schoolbook"/>
          <w:sz w:val="26"/>
          <w:szCs w:val="26"/>
        </w:rPr>
      </w:pPr>
      <w:r w:rsidRP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R</w:t>
      </w:r>
      <w:r w:rsid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esolved</w:t>
      </w:r>
      <w:r w:rsidRPr="005E0D70">
        <w:rPr>
          <w:rStyle w:val="normaltextrun"/>
          <w:rFonts w:ascii="Century Schoolbook" w:hAnsi="Century Schoolbook"/>
          <w:sz w:val="26"/>
          <w:szCs w:val="26"/>
        </w:rPr>
        <w:t xml:space="preserve">, </w:t>
      </w:r>
      <w:r w:rsidRPr="005E0D70">
        <w:rPr>
          <w:rStyle w:val="normaltextrun"/>
          <w:rFonts w:ascii="Century Schoolbook" w:hAnsi="Century Schoolbook"/>
          <w:sz w:val="26"/>
          <w:szCs w:val="26"/>
        </w:rPr>
        <w:tab/>
        <w:t>That f</w:t>
      </w:r>
      <w:r w:rsidR="00E37B5B" w:rsidRPr="005E0D70">
        <w:rPr>
          <w:rStyle w:val="normaltextrun"/>
          <w:rFonts w:ascii="Century Schoolbook" w:hAnsi="Century Schoolbook"/>
          <w:sz w:val="26"/>
          <w:szCs w:val="26"/>
        </w:rPr>
        <w:t xml:space="preserve">aculty recognize the value of collaboration across colleges but emphasize that any merger of the </w:t>
      </w:r>
      <w:r w:rsidR="00E37B5B" w:rsidRP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College of Human Medicine (CHM)</w:t>
      </w:r>
      <w:r w:rsidR="00E37B5B" w:rsidRPr="005E0D70">
        <w:rPr>
          <w:rStyle w:val="normaltextrun"/>
          <w:rFonts w:ascii="Century Schoolbook" w:hAnsi="Century Schoolbook"/>
          <w:sz w:val="26"/>
          <w:szCs w:val="26"/>
        </w:rPr>
        <w:t xml:space="preserve"> and </w:t>
      </w:r>
      <w:r w:rsidR="00E37B5B" w:rsidRP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College of Osteopathic Medicine (COM)</w:t>
      </w:r>
      <w:r w:rsidR="00E37B5B" w:rsidRPr="005E0D70">
        <w:rPr>
          <w:rStyle w:val="normaltextrun"/>
          <w:rFonts w:ascii="Century Schoolbook" w:hAnsi="Century Schoolbook"/>
          <w:sz w:val="26"/>
          <w:szCs w:val="26"/>
        </w:rPr>
        <w:t xml:space="preserve">, or any realignment involving the </w:t>
      </w:r>
      <w:r w:rsidR="00E37B5B" w:rsidRP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College of Nursing (CON)</w:t>
      </w:r>
      <w:r w:rsidR="00E37B5B" w:rsidRPr="005E0D70">
        <w:rPr>
          <w:rStyle w:val="normaltextrun"/>
          <w:rFonts w:ascii="Century Schoolbook" w:hAnsi="Century Schoolbook"/>
          <w:sz w:val="26"/>
          <w:szCs w:val="26"/>
        </w:rPr>
        <w:t xml:space="preserve"> or other health-related units, should proceed </w:t>
      </w:r>
      <w:r w:rsidR="00E37B5B" w:rsidRPr="005E0D70">
        <w:rPr>
          <w:rStyle w:val="normaltextrun"/>
          <w:rFonts w:ascii="Century Schoolbook" w:hAnsi="Century Schoolbook"/>
          <w:b/>
          <w:bCs/>
          <w:sz w:val="26"/>
          <w:szCs w:val="26"/>
        </w:rPr>
        <w:t>only with majority faculty support from within those colleges, and after a transparent process that demonstrates faculty stakeholder engagement, consultation, and risk assessment including accreditation risk</w:t>
      </w:r>
      <w:r w:rsidR="00E37B5B" w:rsidRPr="005E0D70">
        <w:rPr>
          <w:rStyle w:val="normaltextrun"/>
          <w:rFonts w:ascii="Century Schoolbook" w:hAnsi="Century Schoolbook"/>
          <w:sz w:val="26"/>
          <w:szCs w:val="26"/>
        </w:rPr>
        <w:t xml:space="preserve"> have occurred</w:t>
      </w:r>
      <w:r w:rsidRPr="005E0D70">
        <w:rPr>
          <w:rStyle w:val="normaltextrun"/>
          <w:rFonts w:ascii="Century Schoolbook" w:hAnsi="Century Schoolbook"/>
          <w:sz w:val="26"/>
          <w:szCs w:val="26"/>
        </w:rPr>
        <w:t>; and</w:t>
      </w:r>
      <w:r w:rsidR="00E37B5B" w:rsidRPr="005E0D70">
        <w:rPr>
          <w:rStyle w:val="eop"/>
          <w:rFonts w:ascii="Century Schoolbook" w:hAnsi="Century Schoolbook"/>
          <w:sz w:val="26"/>
          <w:szCs w:val="26"/>
        </w:rPr>
        <w:t> </w:t>
      </w:r>
    </w:p>
    <w:p w14:paraId="12426CB3" w14:textId="519A6C61" w:rsidR="00E37B5B" w:rsidRPr="005E0D70" w:rsidRDefault="00EF4794" w:rsidP="00EF4794">
      <w:pPr>
        <w:pStyle w:val="paragraph"/>
        <w:ind w:left="1418" w:hanging="1418"/>
        <w:textAlignment w:val="baseline"/>
        <w:rPr>
          <w:rStyle w:val="normaltextrun"/>
          <w:rFonts w:ascii="Century Schoolbook" w:hAnsi="Century Schoolbook"/>
          <w:sz w:val="26"/>
          <w:szCs w:val="26"/>
        </w:rPr>
      </w:pPr>
      <w:r w:rsidRPr="005E0D70">
        <w:rPr>
          <w:rStyle w:val="normaltextrun"/>
          <w:rFonts w:ascii="Century Schoolbook" w:hAnsi="Century Schoolbook"/>
          <w:i/>
          <w:iCs/>
          <w:sz w:val="26"/>
          <w:szCs w:val="26"/>
        </w:rPr>
        <w:lastRenderedPageBreak/>
        <w:t>R</w:t>
      </w:r>
      <w:r w:rsid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esolved</w:t>
      </w:r>
      <w:r w:rsidRPr="005E0D70">
        <w:rPr>
          <w:rStyle w:val="normaltextrun"/>
          <w:rFonts w:ascii="Century Schoolbook" w:hAnsi="Century Schoolbook"/>
          <w:sz w:val="26"/>
          <w:szCs w:val="26"/>
        </w:rPr>
        <w:t>,</w:t>
      </w:r>
      <w:r w:rsidRPr="005E0D70">
        <w:rPr>
          <w:rStyle w:val="normaltextrun"/>
          <w:rFonts w:ascii="Century Schoolbook" w:hAnsi="Century Schoolbook"/>
          <w:sz w:val="26"/>
          <w:szCs w:val="26"/>
        </w:rPr>
        <w:tab/>
        <w:t>That t</w:t>
      </w:r>
      <w:r w:rsidR="00E37B5B" w:rsidRPr="005E0D70">
        <w:rPr>
          <w:rStyle w:val="normaltextrun"/>
          <w:rFonts w:ascii="Century Schoolbook" w:hAnsi="Century Schoolbook"/>
          <w:sz w:val="26"/>
          <w:szCs w:val="26"/>
        </w:rPr>
        <w:t>he University shall continue to evaluate carefully the potential realignment of the Department of Kinesiology (KIN) and the Department of Food Science &amp; Human Nutrition (FSHN) into the proposed college of Health Professions, ensuring that decisions are based on academic benefit, financial viability, and mission alignment, and made with full faculty participation</w:t>
      </w:r>
      <w:r w:rsidRPr="005E0D70">
        <w:rPr>
          <w:rStyle w:val="normaltextrun"/>
          <w:rFonts w:ascii="Century Schoolbook" w:hAnsi="Century Schoolbook"/>
          <w:sz w:val="26"/>
          <w:szCs w:val="26"/>
        </w:rPr>
        <w:t xml:space="preserve">; and </w:t>
      </w:r>
    </w:p>
    <w:p w14:paraId="1950CDAC" w14:textId="719CDE0D" w:rsidR="00E37B5B" w:rsidRPr="005E0D70" w:rsidRDefault="00EF4794" w:rsidP="00EF4794">
      <w:pPr>
        <w:pStyle w:val="paragraph"/>
        <w:ind w:left="1418" w:hanging="1418"/>
        <w:textAlignment w:val="baseline"/>
        <w:rPr>
          <w:rStyle w:val="eop"/>
          <w:rFonts w:ascii="Century Schoolbook" w:hAnsi="Century Schoolbook"/>
          <w:sz w:val="26"/>
          <w:szCs w:val="26"/>
        </w:rPr>
      </w:pPr>
      <w:r w:rsidRP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R</w:t>
      </w:r>
      <w:r w:rsid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esolved</w:t>
      </w:r>
      <w:r w:rsidRP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,</w:t>
      </w:r>
      <w:r w:rsidR="005E0D70">
        <w:rPr>
          <w:rStyle w:val="normaltextrun"/>
          <w:rFonts w:ascii="Century Schoolbook" w:hAnsi="Century Schoolbook"/>
          <w:i/>
          <w:iCs/>
          <w:sz w:val="26"/>
          <w:szCs w:val="26"/>
        </w:rPr>
        <w:tab/>
      </w:r>
      <w:r w:rsidRPr="005E0D70">
        <w:rPr>
          <w:rStyle w:val="normaltextrun"/>
          <w:rFonts w:ascii="Century Schoolbook" w:hAnsi="Century Schoolbook"/>
          <w:sz w:val="26"/>
          <w:szCs w:val="26"/>
        </w:rPr>
        <w:t>That t</w:t>
      </w:r>
      <w:r w:rsidR="00E37B5B" w:rsidRPr="005E0D70">
        <w:rPr>
          <w:rStyle w:val="normaltextrun"/>
          <w:rFonts w:ascii="Century Schoolbook" w:hAnsi="Century Schoolbook"/>
          <w:sz w:val="26"/>
          <w:szCs w:val="26"/>
        </w:rPr>
        <w:t xml:space="preserve">he Faculty Senate supports continued development of initiatives, such as a </w:t>
      </w:r>
      <w:r w:rsidR="00E37B5B" w:rsidRP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One Health Research Network</w:t>
      </w:r>
      <w:r w:rsidR="00E37B5B" w:rsidRPr="005E0D70">
        <w:rPr>
          <w:rStyle w:val="normaltextrun"/>
          <w:rFonts w:ascii="Century Schoolbook" w:hAnsi="Century Schoolbook"/>
          <w:sz w:val="26"/>
          <w:szCs w:val="26"/>
        </w:rPr>
        <w:t>, that enhance interdisciplinary collaboration</w:t>
      </w:r>
      <w:r w:rsidRPr="005E0D70">
        <w:rPr>
          <w:rStyle w:val="eop"/>
          <w:rFonts w:ascii="Century Schoolbook" w:hAnsi="Century Schoolbook"/>
          <w:sz w:val="26"/>
          <w:szCs w:val="26"/>
        </w:rPr>
        <w:t xml:space="preserve">; and </w:t>
      </w:r>
    </w:p>
    <w:p w14:paraId="4505C7AA" w14:textId="42C86982" w:rsidR="002A5B33" w:rsidRPr="005E0D70" w:rsidRDefault="00EF4794" w:rsidP="00EF4794">
      <w:pPr>
        <w:pStyle w:val="paragraph"/>
        <w:ind w:left="1418" w:hanging="1418"/>
        <w:textAlignment w:val="baseline"/>
        <w:rPr>
          <w:rFonts w:ascii="Century Schoolbook" w:hAnsi="Century Schoolbook"/>
          <w:sz w:val="26"/>
          <w:szCs w:val="26"/>
        </w:rPr>
      </w:pPr>
      <w:r w:rsidRP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R</w:t>
      </w:r>
      <w:r w:rsid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esolved</w:t>
      </w:r>
      <w:r w:rsidRPr="005E0D70">
        <w:rPr>
          <w:rStyle w:val="normaltextrun"/>
          <w:rFonts w:ascii="Century Schoolbook" w:hAnsi="Century Schoolbook"/>
          <w:sz w:val="26"/>
          <w:szCs w:val="26"/>
        </w:rPr>
        <w:t>,</w:t>
      </w:r>
      <w:r w:rsidR="005E0D70">
        <w:rPr>
          <w:rStyle w:val="normaltextrun"/>
          <w:rFonts w:ascii="Century Schoolbook" w:hAnsi="Century Schoolbook"/>
          <w:sz w:val="26"/>
          <w:szCs w:val="26"/>
        </w:rPr>
        <w:tab/>
      </w:r>
      <w:proofErr w:type="gramStart"/>
      <w:r w:rsidRPr="005E0D70">
        <w:rPr>
          <w:rStyle w:val="normaltextrun"/>
          <w:rFonts w:ascii="Century Schoolbook" w:hAnsi="Century Schoolbook"/>
          <w:sz w:val="26"/>
          <w:szCs w:val="26"/>
        </w:rPr>
        <w:t>That</w:t>
      </w:r>
      <w:proofErr w:type="gramEnd"/>
      <w:r w:rsidRPr="005E0D70">
        <w:rPr>
          <w:rStyle w:val="normaltextrun"/>
          <w:rFonts w:ascii="Century Schoolbook" w:hAnsi="Century Schoolbook"/>
          <w:sz w:val="26"/>
          <w:szCs w:val="26"/>
        </w:rPr>
        <w:t xml:space="preserve"> t</w:t>
      </w:r>
      <w:r w:rsidR="00E37B5B" w:rsidRPr="005E0D70">
        <w:rPr>
          <w:rStyle w:val="normaltextrun"/>
          <w:rFonts w:ascii="Century Schoolbook" w:hAnsi="Century Schoolbook"/>
          <w:sz w:val="26"/>
          <w:szCs w:val="26"/>
        </w:rPr>
        <w:t xml:space="preserve">his resolution and its supporting data shall be transmitted to the </w:t>
      </w:r>
      <w:r w:rsidR="00E37B5B" w:rsidRP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One Team, One Health Council and Task Forces</w:t>
      </w:r>
      <w:r w:rsidR="00E37B5B" w:rsidRPr="005E0D70">
        <w:rPr>
          <w:rStyle w:val="normaltextrun"/>
          <w:rFonts w:ascii="Century Schoolbook" w:hAnsi="Century Schoolbook"/>
          <w:sz w:val="26"/>
          <w:szCs w:val="26"/>
        </w:rPr>
        <w:t xml:space="preserve">, and the </w:t>
      </w:r>
      <w:r w:rsidR="00E37B5B" w:rsidRPr="005E0D70">
        <w:rPr>
          <w:rStyle w:val="normaltextrun"/>
          <w:rFonts w:ascii="Century Schoolbook" w:hAnsi="Century Schoolbook"/>
          <w:i/>
          <w:iCs/>
          <w:sz w:val="26"/>
          <w:szCs w:val="26"/>
        </w:rPr>
        <w:t>Office of the President</w:t>
      </w:r>
      <w:r w:rsidR="00E37B5B" w:rsidRPr="005E0D70">
        <w:rPr>
          <w:rStyle w:val="normaltextrun"/>
          <w:rFonts w:ascii="Century Schoolbook" w:hAnsi="Century Schoolbook"/>
          <w:sz w:val="26"/>
          <w:szCs w:val="26"/>
        </w:rPr>
        <w:t xml:space="preserve"> for review and response, and that all future OTOH planning incorporate robust faculty governance participation as a condition for trust and success.</w:t>
      </w:r>
      <w:r w:rsidR="00E37B5B" w:rsidRPr="005E0D70">
        <w:rPr>
          <w:rStyle w:val="eop"/>
          <w:rFonts w:ascii="Century Schoolbook" w:hAnsi="Century Schoolbook"/>
          <w:sz w:val="26"/>
          <w:szCs w:val="26"/>
        </w:rPr>
        <w:t> </w:t>
      </w:r>
    </w:p>
    <w:sectPr w:rsidR="002A5B33" w:rsidRPr="005E0D70" w:rsidSect="004917A4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134" w:right="1134" w:bottom="1134" w:left="1134" w:header="720" w:footer="72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891C" w14:textId="77777777" w:rsidR="00B07085" w:rsidRDefault="00B07085" w:rsidP="006A0F19">
      <w:r>
        <w:separator/>
      </w:r>
    </w:p>
  </w:endnote>
  <w:endnote w:type="continuationSeparator" w:id="0">
    <w:p w14:paraId="69B4BCCB" w14:textId="77777777" w:rsidR="00B07085" w:rsidRDefault="00B07085" w:rsidP="006A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4634" w14:textId="39AD7487" w:rsidR="004B659F" w:rsidRPr="00452CE0" w:rsidRDefault="004B659F" w:rsidP="004B659F">
    <w:pPr>
      <w:pStyle w:val="Footer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EAAF" w14:textId="77777777" w:rsidR="00B07085" w:rsidRDefault="00B07085" w:rsidP="006A0F19">
      <w:r>
        <w:separator/>
      </w:r>
    </w:p>
  </w:footnote>
  <w:footnote w:type="continuationSeparator" w:id="0">
    <w:p w14:paraId="475B3B64" w14:textId="77777777" w:rsidR="00B07085" w:rsidRDefault="00B07085" w:rsidP="006A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A42A" w14:textId="0FA6F6B5" w:rsidR="001C2537" w:rsidRDefault="00014285">
    <w:pPr>
      <w:pStyle w:val="Header"/>
    </w:pPr>
    <w:r>
      <w:rPr>
        <w:noProof/>
      </w:rPr>
      <w:pict w14:anchorId="3FF868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9" o:spid="_x0000_s1026" type="#_x0000_t136" alt="" style="position:absolute;margin-left:0;margin-top:0;width:485.3pt;height:194.1pt;rotation:315;z-index:-2516459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BC04" w14:textId="323886FB" w:rsidR="007A5B68" w:rsidRDefault="00FD220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D9F1570" wp14:editId="16FE98E5">
              <wp:simplePos x="0" y="0"/>
              <wp:positionH relativeFrom="margin">
                <wp:align>center</wp:align>
              </wp:positionH>
              <wp:positionV relativeFrom="paragraph">
                <wp:posOffset>-285750</wp:posOffset>
              </wp:positionV>
              <wp:extent cx="7014210" cy="1109980"/>
              <wp:effectExtent l="0" t="0" r="15240" b="1397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4210" cy="1109980"/>
                        <a:chOff x="0" y="0"/>
                        <a:chExt cx="7014210" cy="1109980"/>
                      </a:xfrm>
                    </wpg:grpSpPr>
                    <wps:wsp>
                      <wps:cNvPr id="2" name="Rectangle 1"/>
                      <wps:cNvSpPr>
                        <a:spLocks/>
                      </wps:cNvSpPr>
                      <wps:spPr>
                        <a:xfrm>
                          <a:off x="0" y="0"/>
                          <a:ext cx="7014210" cy="1109980"/>
                        </a:xfrm>
                        <a:prstGeom prst="rect">
                          <a:avLst/>
                        </a:prstGeom>
                        <a:solidFill>
                          <a:srgbClr val="18453B"/>
                        </a:solidFill>
                        <a:ln>
                          <a:solidFill>
                            <a:srgbClr val="18453B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" name="Title 1"/>
                      <wps:cNvSpPr txBox="1">
                        <a:spLocks noChangeArrowheads="1"/>
                      </wps:cNvSpPr>
                      <wps:spPr bwMode="auto">
                        <a:xfrm>
                          <a:off x="152400" y="152400"/>
                          <a:ext cx="361188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AEC96" w14:textId="618B1708" w:rsidR="00F81FB5" w:rsidRPr="00F81FB5" w:rsidRDefault="00A32950" w:rsidP="00F81FB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 w:hAnsi="Georgia" w:cs="Arial Black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Faculty Senate</w:t>
                            </w:r>
                            <w:r w:rsidR="00F81FB5" w:rsidRPr="00F81FB5">
                              <w:rPr>
                                <w:rFonts w:ascii="Georgia" w:hAnsi="Georgia" w:cs="Arial Black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br/>
                            </w:r>
                            <w:r w:rsidR="004D5E9A"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Draft </w:t>
                            </w:r>
                            <w:r w:rsidR="002A45C6"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Resolution</w:t>
                            </w:r>
                            <w:r w:rsidR="00F81FB5" w:rsidRPr="00F81FB5"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E37B5B"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[November 18, 2025]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4039235" y="184150"/>
                          <a:ext cx="271907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A1550" w14:textId="647048ED" w:rsidR="00F81FB5" w:rsidRPr="00F81FB5" w:rsidRDefault="00F81FB5" w:rsidP="00F81FB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81FB5">
                              <w:rPr>
                                <w:noProof/>
                              </w:rPr>
                              <w:drawing>
                                <wp:inline distT="0" distB="0" distL="0" distR="0" wp14:anchorId="499D00F3" wp14:editId="442B4361">
                                  <wp:extent cx="2536190" cy="602615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6190" cy="602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9F1570" id="Group 1" o:spid="_x0000_s1026" style="position:absolute;margin-left:0;margin-top:-22.5pt;width:552.3pt;height:87.4pt;z-index:251666432;mso-position-horizontal:center;mso-position-horizontal-relative:margin" coordsize="70142,11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">
              <v:rect id="Rectangle 1" o:spid="_x0000_s1027" style="position:absolute;width:70142;height:1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" fillcolor="#18453b" strokecolor="#18453b" strokeweight=".5pt">
                <v:path arrowok="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itle 1" o:spid="_x0000_s1028" type="#_x0000_t202" style="position:absolute;left:1524;top:1524;width:36118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1ABAEC96" w14:textId="618B1708" w:rsidR="00F81FB5" w:rsidRPr="00F81FB5" w:rsidRDefault="00A32950" w:rsidP="00F81FB5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Georgia" w:hAnsi="Georgia" w:cs="Arial Black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Faculty Senate</w:t>
                      </w:r>
                      <w:r w:rsidR="00F81FB5" w:rsidRPr="00F81FB5">
                        <w:rPr>
                          <w:rFonts w:ascii="Georgia" w:hAnsi="Georgia" w:cs="Arial Black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br/>
                      </w:r>
                      <w:r w:rsidR="004D5E9A"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Draft </w:t>
                      </w:r>
                      <w:r w:rsidR="002A45C6"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Resolution</w:t>
                      </w:r>
                      <w:r w:rsidR="00F81FB5" w:rsidRPr="00F81FB5"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E37B5B"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[November 18, 2025]</w:t>
                      </w:r>
                    </w:p>
                  </w:txbxContent>
                </v:textbox>
              </v:shape>
              <v:shape id="Text Box 11" o:spid="_x0000_s1029" type="#_x0000_t202" style="position:absolute;left:40392;top:1841;width:27191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221A1550" w14:textId="647048ED" w:rsidR="00F81FB5" w:rsidRPr="00F81FB5" w:rsidRDefault="00F81FB5" w:rsidP="00F81FB5">
                      <w:pPr>
                        <w:rPr>
                          <w:sz w:val="14"/>
                          <w:szCs w:val="14"/>
                        </w:rPr>
                      </w:pPr>
                      <w:r w:rsidRPr="00F81FB5">
                        <w:rPr>
                          <w:noProof/>
                        </w:rPr>
                        <w:drawing>
                          <wp:inline distT="0" distB="0" distL="0" distR="0" wp14:anchorId="499D00F3" wp14:editId="442B4361">
                            <wp:extent cx="2536190" cy="602615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6190" cy="602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25B0E0BC" w14:textId="33C3A5EB" w:rsidR="007A5B68" w:rsidRDefault="007A5B68">
    <w:pPr>
      <w:pStyle w:val="Header"/>
    </w:pPr>
  </w:p>
  <w:p w14:paraId="5C6526AA" w14:textId="5CC25B63" w:rsidR="007A5B68" w:rsidRDefault="007A5B68">
    <w:pPr>
      <w:pStyle w:val="Header"/>
    </w:pPr>
  </w:p>
  <w:p w14:paraId="58C4DD6A" w14:textId="03016EA4" w:rsidR="007A5B68" w:rsidRDefault="007A5B68">
    <w:pPr>
      <w:pStyle w:val="Header"/>
    </w:pPr>
  </w:p>
  <w:p w14:paraId="3B91F8C5" w14:textId="677DB8F1" w:rsidR="006A0F19" w:rsidRDefault="007A5B6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432E1D" wp14:editId="25DF4719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5" name="Michigan State University Logo 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6793" w14:textId="196753A9" w:rsidR="001C2537" w:rsidRDefault="00014285">
    <w:pPr>
      <w:pStyle w:val="Header"/>
    </w:pPr>
    <w:r>
      <w:rPr>
        <w:noProof/>
      </w:rPr>
      <w:pict w14:anchorId="02BD74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8" o:spid="_x0000_s1025" type="#_x0000_t136" alt="" style="position:absolute;margin-left:0;margin-top:0;width:485.3pt;height:194.1pt;rotation:315;z-index:-25164800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04F9"/>
    <w:multiLevelType w:val="multilevel"/>
    <w:tmpl w:val="E584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20C72"/>
    <w:multiLevelType w:val="multilevel"/>
    <w:tmpl w:val="43C8D8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59F0"/>
    <w:multiLevelType w:val="hybridMultilevel"/>
    <w:tmpl w:val="CFAA263E"/>
    <w:lvl w:ilvl="0" w:tplc="121E621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1D53C70"/>
    <w:multiLevelType w:val="multilevel"/>
    <w:tmpl w:val="ADC2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D7211"/>
    <w:multiLevelType w:val="multilevel"/>
    <w:tmpl w:val="9482A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063452"/>
    <w:multiLevelType w:val="multilevel"/>
    <w:tmpl w:val="DA14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166881"/>
    <w:multiLevelType w:val="multilevel"/>
    <w:tmpl w:val="D862BE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E72EF"/>
    <w:multiLevelType w:val="hybridMultilevel"/>
    <w:tmpl w:val="0B041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86B83"/>
    <w:multiLevelType w:val="hybridMultilevel"/>
    <w:tmpl w:val="41862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31269"/>
    <w:multiLevelType w:val="multilevel"/>
    <w:tmpl w:val="0270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E924D6"/>
    <w:multiLevelType w:val="multilevel"/>
    <w:tmpl w:val="B3009C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865659"/>
    <w:multiLevelType w:val="multilevel"/>
    <w:tmpl w:val="C1EE4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9D1408"/>
    <w:multiLevelType w:val="multilevel"/>
    <w:tmpl w:val="407EA7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03072A"/>
    <w:multiLevelType w:val="multilevel"/>
    <w:tmpl w:val="EE14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07265B"/>
    <w:multiLevelType w:val="multilevel"/>
    <w:tmpl w:val="662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0A7122"/>
    <w:multiLevelType w:val="multilevel"/>
    <w:tmpl w:val="F0EC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1C7ABC"/>
    <w:multiLevelType w:val="hybridMultilevel"/>
    <w:tmpl w:val="BA422BCA"/>
    <w:lvl w:ilvl="0" w:tplc="5CB6504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E6451A9"/>
    <w:multiLevelType w:val="multilevel"/>
    <w:tmpl w:val="02DAAE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354470">
    <w:abstractNumId w:val="4"/>
  </w:num>
  <w:num w:numId="2" w16cid:durableId="1344551900">
    <w:abstractNumId w:val="8"/>
  </w:num>
  <w:num w:numId="3" w16cid:durableId="1580821190">
    <w:abstractNumId w:val="7"/>
  </w:num>
  <w:num w:numId="4" w16cid:durableId="1819030456">
    <w:abstractNumId w:val="5"/>
  </w:num>
  <w:num w:numId="5" w16cid:durableId="864290531">
    <w:abstractNumId w:val="14"/>
  </w:num>
  <w:num w:numId="6" w16cid:durableId="1159804369">
    <w:abstractNumId w:val="15"/>
  </w:num>
  <w:num w:numId="7" w16cid:durableId="705133296">
    <w:abstractNumId w:val="13"/>
  </w:num>
  <w:num w:numId="8" w16cid:durableId="760641377">
    <w:abstractNumId w:val="6"/>
  </w:num>
  <w:num w:numId="9" w16cid:durableId="81148723">
    <w:abstractNumId w:val="1"/>
  </w:num>
  <w:num w:numId="10" w16cid:durableId="931668338">
    <w:abstractNumId w:val="12"/>
  </w:num>
  <w:num w:numId="11" w16cid:durableId="522279948">
    <w:abstractNumId w:val="9"/>
  </w:num>
  <w:num w:numId="12" w16cid:durableId="354577548">
    <w:abstractNumId w:val="0"/>
  </w:num>
  <w:num w:numId="13" w16cid:durableId="1576163106">
    <w:abstractNumId w:val="3"/>
  </w:num>
  <w:num w:numId="14" w16cid:durableId="338316531">
    <w:abstractNumId w:val="17"/>
  </w:num>
  <w:num w:numId="15" w16cid:durableId="1256355272">
    <w:abstractNumId w:val="10"/>
  </w:num>
  <w:num w:numId="16" w16cid:durableId="2108647844">
    <w:abstractNumId w:val="11"/>
  </w:num>
  <w:num w:numId="17" w16cid:durableId="45033351">
    <w:abstractNumId w:val="16"/>
  </w:num>
  <w:num w:numId="18" w16cid:durableId="209612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F3"/>
    <w:rsid w:val="00014285"/>
    <w:rsid w:val="00045FCD"/>
    <w:rsid w:val="00051B88"/>
    <w:rsid w:val="000D08D1"/>
    <w:rsid w:val="001C2537"/>
    <w:rsid w:val="001C5EEE"/>
    <w:rsid w:val="001E0CF1"/>
    <w:rsid w:val="001E4902"/>
    <w:rsid w:val="00212BE3"/>
    <w:rsid w:val="00213E18"/>
    <w:rsid w:val="002A1E4E"/>
    <w:rsid w:val="002A45C6"/>
    <w:rsid w:val="002A5B33"/>
    <w:rsid w:val="002F23F5"/>
    <w:rsid w:val="0031649D"/>
    <w:rsid w:val="003B24D5"/>
    <w:rsid w:val="003B5271"/>
    <w:rsid w:val="003E7804"/>
    <w:rsid w:val="0044176A"/>
    <w:rsid w:val="0044471F"/>
    <w:rsid w:val="00452CE0"/>
    <w:rsid w:val="004806A7"/>
    <w:rsid w:val="004917A4"/>
    <w:rsid w:val="004B659F"/>
    <w:rsid w:val="004D5E9A"/>
    <w:rsid w:val="004F4163"/>
    <w:rsid w:val="00565124"/>
    <w:rsid w:val="005765CC"/>
    <w:rsid w:val="005E0D70"/>
    <w:rsid w:val="00671512"/>
    <w:rsid w:val="006A0F19"/>
    <w:rsid w:val="00724B34"/>
    <w:rsid w:val="007A5B68"/>
    <w:rsid w:val="007D370F"/>
    <w:rsid w:val="007F1C36"/>
    <w:rsid w:val="00820239"/>
    <w:rsid w:val="00833EF3"/>
    <w:rsid w:val="00840FE6"/>
    <w:rsid w:val="009368A7"/>
    <w:rsid w:val="00971AD1"/>
    <w:rsid w:val="009B32C2"/>
    <w:rsid w:val="009C5EFE"/>
    <w:rsid w:val="00A32950"/>
    <w:rsid w:val="00AA7883"/>
    <w:rsid w:val="00B07085"/>
    <w:rsid w:val="00B3250B"/>
    <w:rsid w:val="00B66D48"/>
    <w:rsid w:val="00BA3F7C"/>
    <w:rsid w:val="00C02EE4"/>
    <w:rsid w:val="00C92C2A"/>
    <w:rsid w:val="00DC2750"/>
    <w:rsid w:val="00E24FB1"/>
    <w:rsid w:val="00E37B5B"/>
    <w:rsid w:val="00E44C5F"/>
    <w:rsid w:val="00E650E7"/>
    <w:rsid w:val="00EA124C"/>
    <w:rsid w:val="00EF4794"/>
    <w:rsid w:val="00F23842"/>
    <w:rsid w:val="00F43749"/>
    <w:rsid w:val="00F81FB5"/>
    <w:rsid w:val="00FA25A5"/>
    <w:rsid w:val="00FD2203"/>
    <w:rsid w:val="00FE4E5B"/>
    <w:rsid w:val="0BC0F981"/>
    <w:rsid w:val="4FC0D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9B2E2"/>
  <w15:docId w15:val="{0DB9D46E-F72E-491B-9244-7CE0B5FA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="Times New Roman" w:hAnsi="Century Schoolbook" w:cstheme="minorBidi"/>
        <w:sz w:val="26"/>
        <w:szCs w:val="26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EFE"/>
    <w:rPr>
      <w:color w:val="18453B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A0F1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A0F19"/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B66D48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0D08D1"/>
    <w:pPr>
      <w:spacing w:before="100" w:beforeAutospacing="1" w:after="100" w:afterAutospacing="1"/>
    </w:pPr>
    <w:rPr>
      <w:rFonts w:ascii="Times New Roman" w:hAnsi="Times New Roman" w:cs="Times New Roman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A788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203"/>
    <w:rPr>
      <w:rFonts w:asciiTheme="minorHAnsi" w:eastAsiaTheme="minorHAnsi" w:hAnsiTheme="minorHAnsi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203"/>
    <w:rPr>
      <w:rFonts w:asciiTheme="minorHAnsi" w:eastAsiaTheme="minorHAnsi" w:hAnsiTheme="minorHAnsi"/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D2203"/>
    <w:rPr>
      <w:vertAlign w:val="superscript"/>
    </w:rPr>
  </w:style>
  <w:style w:type="paragraph" w:customStyle="1" w:styleId="paragraph">
    <w:name w:val="paragraph"/>
    <w:basedOn w:val="Normal"/>
    <w:rsid w:val="00E37B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 w:bidi="ar-SA"/>
    </w:rPr>
  </w:style>
  <w:style w:type="character" w:customStyle="1" w:styleId="normaltextrun">
    <w:name w:val="normaltextrun"/>
    <w:basedOn w:val="DefaultParagraphFont"/>
    <w:rsid w:val="00E37B5B"/>
  </w:style>
  <w:style w:type="character" w:customStyle="1" w:styleId="eop">
    <w:name w:val="eop"/>
    <w:basedOn w:val="DefaultParagraphFont"/>
    <w:rsid w:val="00E37B5B"/>
  </w:style>
  <w:style w:type="character" w:customStyle="1" w:styleId="scxw263317140">
    <w:name w:val="scxw263317140"/>
    <w:basedOn w:val="DefaultParagraphFont"/>
    <w:rsid w:val="00E37B5B"/>
  </w:style>
  <w:style w:type="character" w:customStyle="1" w:styleId="wacimagecontainer">
    <w:name w:val="wacimagecontainer"/>
    <w:basedOn w:val="DefaultParagraphFont"/>
    <w:rsid w:val="00E37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c34103256bf61de1416f6ec6d3c70aef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af60ab38997db776aa1dabc8d4746818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154E2-FE81-4144-BE65-E1A876AB01A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b9b69cfa-80ab-4e57-8c7c-c439de3a6f57"/>
    <ds:schemaRef ds:uri="b9af824b-b9ca-44bc-93e9-131eccbb3ac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3DF26A7-BB1B-45C0-B5E3-ED727E6B9D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FA082C-5369-41BB-9782-57AFC519EB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6520F5-A8A9-473B-8419-EEDDEB6E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Silvestri, Tyler</dc:creator>
  <cp:lastModifiedBy>Reynolds, Nicholas</cp:lastModifiedBy>
  <cp:revision>2</cp:revision>
  <dcterms:created xsi:type="dcterms:W3CDTF">2025-11-12T15:04:00Z</dcterms:created>
  <dcterms:modified xsi:type="dcterms:W3CDTF">2025-11-12T15:04:00Z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0x010100373BE68F7849A845B253768CFB280D40</vt:lpwstr>
  </property>
</Properties>
</file>