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61D3" w14:textId="47EE70E8" w:rsidR="00635B86" w:rsidRDefault="00A05E19" w:rsidP="00FD3411">
      <w:pPr>
        <w:spacing w:after="0" w:line="240" w:lineRule="auto"/>
      </w:pPr>
      <w:r w:rsidRPr="00A05E19">
        <w:rPr>
          <w:b/>
          <w:bCs/>
        </w:rPr>
        <w:t xml:space="preserve">Faculty Contributions and Institutional Impact, </w:t>
      </w:r>
    </w:p>
    <w:p w14:paraId="4A9AC542" w14:textId="0D7E09C1" w:rsidR="00635B86" w:rsidRDefault="00941616" w:rsidP="00FD3411">
      <w:pPr>
        <w:spacing w:after="0" w:line="240" w:lineRule="auto"/>
      </w:pPr>
      <w:r>
        <w:t xml:space="preserve">Approved by UCFA on April </w:t>
      </w:r>
      <w:r w:rsidR="00177BB4">
        <w:t>7, 2026</w:t>
      </w:r>
    </w:p>
    <w:p w14:paraId="76B12997" w14:textId="34B85AA5" w:rsidR="02D1CC86" w:rsidRDefault="02D1CC86" w:rsidP="02D1CC86">
      <w:pPr>
        <w:spacing w:after="0" w:line="240" w:lineRule="auto"/>
      </w:pPr>
    </w:p>
    <w:p w14:paraId="033AC166" w14:textId="77777777" w:rsidR="00BE0713" w:rsidRDefault="00BE0713" w:rsidP="00FD3411">
      <w:pPr>
        <w:spacing w:after="0" w:line="240" w:lineRule="auto"/>
      </w:pPr>
    </w:p>
    <w:p w14:paraId="7B8D594F" w14:textId="77777777" w:rsidR="00BE0713" w:rsidRDefault="00BE0713" w:rsidP="00FD3411">
      <w:pPr>
        <w:spacing w:after="0" w:line="240" w:lineRule="auto"/>
      </w:pPr>
    </w:p>
    <w:p w14:paraId="67D40136" w14:textId="3D5664D1" w:rsidR="00BE0713" w:rsidRPr="00BE0713" w:rsidRDefault="00BE0713" w:rsidP="00FD3411">
      <w:pPr>
        <w:spacing w:after="0" w:line="240" w:lineRule="auto"/>
        <w:rPr>
          <w:b/>
          <w:bCs/>
        </w:rPr>
      </w:pPr>
      <w:r w:rsidRPr="187582AD">
        <w:rPr>
          <w:b/>
          <w:bCs/>
        </w:rPr>
        <w:t>Summary</w:t>
      </w:r>
    </w:p>
    <w:p w14:paraId="1DCA3E90" w14:textId="595FE02F" w:rsidR="00C4544C" w:rsidRDefault="5F7356EF" w:rsidP="00FD3411">
      <w:pPr>
        <w:spacing w:after="0" w:line="240" w:lineRule="auto"/>
        <w:rPr>
          <w:b/>
          <w:bCs/>
        </w:rPr>
      </w:pPr>
      <w:r w:rsidRPr="2CC5150A">
        <w:rPr>
          <w:rFonts w:ascii="Aptos" w:eastAsia="Aptos" w:hAnsi="Aptos" w:cs="Aptos"/>
        </w:rPr>
        <w:t xml:space="preserve">As </w:t>
      </w:r>
      <w:r w:rsidR="583AF4E6" w:rsidRPr="2CC5150A">
        <w:rPr>
          <w:rFonts w:ascii="Aptos" w:eastAsia="Aptos" w:hAnsi="Aptos" w:cs="Aptos"/>
        </w:rPr>
        <w:t>a world-class institution of higher learning</w:t>
      </w:r>
      <w:r w:rsidRPr="2CC5150A">
        <w:rPr>
          <w:rFonts w:ascii="Aptos" w:eastAsia="Aptos" w:hAnsi="Aptos" w:cs="Aptos"/>
        </w:rPr>
        <w:t xml:space="preserve">, it is crucial that we maintain our commitment to attracting and retaining exceptional educators and scholars. </w:t>
      </w:r>
      <w:r w:rsidR="32CB0B6D">
        <w:t xml:space="preserve">Faculty are one of the university’s greatest strengths, and supporting their work is essential to our reputation, educational quality, and long-term sustainability. </w:t>
      </w:r>
      <w:r w:rsidR="5A8C0FC6">
        <w:t xml:space="preserve">A raise for faculty is a strategic </w:t>
      </w:r>
      <w:r w:rsidR="3F017EAA">
        <w:t>investment</w:t>
      </w:r>
      <w:r w:rsidR="5A8C0FC6">
        <w:t xml:space="preserve"> that will positively impact the whole of the university. </w:t>
      </w:r>
      <w:r w:rsidR="32CB0B6D">
        <w:t xml:space="preserve">Below are </w:t>
      </w:r>
      <w:r w:rsidR="5A8C0FC6">
        <w:t>sever</w:t>
      </w:r>
      <w:r w:rsidR="3E161F59">
        <w:t>al key examples of the impact of the faculty to support this.</w:t>
      </w:r>
    </w:p>
    <w:p w14:paraId="41275D46" w14:textId="54ACC924" w:rsidR="00BE0713" w:rsidRPr="00BE0713" w:rsidRDefault="00BE0713" w:rsidP="00FD3411">
      <w:pPr>
        <w:spacing w:after="0" w:line="240" w:lineRule="auto"/>
        <w:rPr>
          <w:b/>
          <w:bCs/>
        </w:rPr>
      </w:pPr>
      <w:r w:rsidRPr="00BE0713">
        <w:rPr>
          <w:b/>
          <w:bCs/>
        </w:rPr>
        <w:t>Faculty Excellence</w:t>
      </w:r>
    </w:p>
    <w:p w14:paraId="493BAB40" w14:textId="56BA03CA" w:rsidR="00BE0713" w:rsidRDefault="00BE0713" w:rsidP="00FD3411">
      <w:pPr>
        <w:spacing w:after="0" w:line="240" w:lineRule="auto"/>
      </w:pPr>
      <w:r>
        <w:t>Michigan State University, alongside its renowned faculty, continues to shape the future as a boldly public, globally engaged institution. Our faculty serve</w:t>
      </w:r>
      <w:r w:rsidR="49C8830F">
        <w:t>s</w:t>
      </w:r>
      <w:r>
        <w:t xml:space="preserve"> as the foundation of MSU’s mission</w:t>
      </w:r>
      <w:r w:rsidR="4BBCA4D5">
        <w:t>:</w:t>
      </w:r>
      <w:r>
        <w:t xml:space="preserve"> advancing education, fostering impactful outreach, driving groundbreaking research, and leading diverse scholarly endeavors across disciplines. Over the past year, faculty contributions have been integral to achieving milestones that reflect MSU’s commitment to excellence, innovation, and service to the public good.</w:t>
      </w:r>
    </w:p>
    <w:p w14:paraId="3D94F571" w14:textId="77777777" w:rsidR="00FD3411" w:rsidRDefault="00FD3411" w:rsidP="00FD3411">
      <w:pPr>
        <w:spacing w:after="0" w:line="240" w:lineRule="auto"/>
        <w:rPr>
          <w:b/>
          <w:bCs/>
          <w:i/>
          <w:iCs/>
        </w:rPr>
      </w:pPr>
    </w:p>
    <w:p w14:paraId="6912B428" w14:textId="2B88E3B9" w:rsidR="00BE0713" w:rsidRPr="00BE0713" w:rsidRDefault="00BE0713" w:rsidP="00FD3411">
      <w:pPr>
        <w:spacing w:after="0" w:line="240" w:lineRule="auto"/>
        <w:rPr>
          <w:b/>
          <w:bCs/>
          <w:i/>
          <w:iCs/>
        </w:rPr>
      </w:pPr>
      <w:r w:rsidRPr="00BE0713">
        <w:rPr>
          <w:b/>
          <w:bCs/>
          <w:i/>
          <w:iCs/>
        </w:rPr>
        <w:t>Teaching</w:t>
      </w:r>
    </w:p>
    <w:p w14:paraId="753142BB" w14:textId="7DC84A0F" w:rsidR="00BE0713" w:rsidRPr="00844543" w:rsidRDefault="4A960F37" w:rsidP="07E42D5D">
      <w:pPr>
        <w:spacing w:after="0" w:line="240" w:lineRule="auto"/>
        <w:rPr>
          <w:rFonts w:ascii="Aptos" w:eastAsia="Aptos" w:hAnsi="Aptos" w:cs="Aptos"/>
          <w:color w:val="151A22"/>
        </w:rPr>
      </w:pPr>
      <w:r>
        <w:t>MSU f</w:t>
      </w:r>
      <w:r w:rsidR="7444079E">
        <w:t>aculty support</w:t>
      </w:r>
      <w:r w:rsidR="1733337D">
        <w:t>s</w:t>
      </w:r>
      <w:r w:rsidR="7444079E">
        <w:t xml:space="preserve"> a</w:t>
      </w:r>
      <w:r w:rsidR="7D436CE3">
        <w:t>n ever</w:t>
      </w:r>
      <w:r w:rsidR="664C74F3">
        <w:t>-</w:t>
      </w:r>
      <w:r w:rsidR="7444079E">
        <w:t>growing student body – we’</w:t>
      </w:r>
      <w:r w:rsidR="22D532F7">
        <w:t>r</w:t>
      </w:r>
      <w:r w:rsidR="7444079E">
        <w:t>e adaptive, ensur</w:t>
      </w:r>
      <w:r w:rsidR="21A7F2E5">
        <w:t>ing</w:t>
      </w:r>
      <w:r w:rsidR="7444079E">
        <w:t xml:space="preserve"> a high-quality education for a diverse student population. Enrollment is up </w:t>
      </w:r>
      <w:r w:rsidR="5056F42C">
        <w:t>0.4</w:t>
      </w:r>
      <w:r w:rsidR="7444079E">
        <w:t>% (</w:t>
      </w:r>
      <w:r w:rsidR="0163EA0C">
        <w:t xml:space="preserve">from </w:t>
      </w:r>
      <w:r w:rsidR="7444079E">
        <w:t>41,234</w:t>
      </w:r>
      <w:r w:rsidR="2D0E989A">
        <w:t xml:space="preserve"> in 202</w:t>
      </w:r>
      <w:r w:rsidR="35F73F53">
        <w:t>5</w:t>
      </w:r>
      <w:r w:rsidR="5056F42C">
        <w:t xml:space="preserve"> to 41,415</w:t>
      </w:r>
      <w:r w:rsidR="7444079E">
        <w:t>) for undergraduates</w:t>
      </w:r>
      <w:r w:rsidR="5887F5FB">
        <w:t xml:space="preserve">, with a total enrollment of </w:t>
      </w:r>
      <w:r w:rsidR="5056F42C">
        <w:t>51,838</w:t>
      </w:r>
      <w:r w:rsidR="5887F5FB">
        <w:t xml:space="preserve">. </w:t>
      </w:r>
      <w:r w:rsidR="517ED493">
        <w:t>Additionally, there are 1,</w:t>
      </w:r>
      <w:r w:rsidR="5056F42C">
        <w:t>754</w:t>
      </w:r>
      <w:r w:rsidR="517ED493">
        <w:t xml:space="preserve"> new degree-seeking graduate students at the master’s and doctoral levels. New graduate professional enrollment totals 7</w:t>
      </w:r>
      <w:r w:rsidR="5056F42C">
        <w:t>43</w:t>
      </w:r>
      <w:r w:rsidR="517ED493">
        <w:t xml:space="preserve"> students.</w:t>
      </w:r>
      <w:r w:rsidR="0F47A0D1">
        <w:t xml:space="preserve"> </w:t>
      </w:r>
      <w:r w:rsidR="517ED493">
        <w:t>Total graduate enrollment, including graduate professional students, is 10,</w:t>
      </w:r>
      <w:r w:rsidR="5056F42C">
        <w:t>423</w:t>
      </w:r>
      <w:r w:rsidR="5FC0BE5E">
        <w:t xml:space="preserve"> </w:t>
      </w:r>
      <w:r w:rsidR="517ED493">
        <w:t>students.</w:t>
      </w:r>
      <w:r w:rsidR="745CA1AF">
        <w:t xml:space="preserve"> Furthermore, i</w:t>
      </w:r>
      <w:r w:rsidR="607F9EDF">
        <w:t>n</w:t>
      </w:r>
      <w:r w:rsidR="5887F5FB">
        <w:t xml:space="preserve"> 202</w:t>
      </w:r>
      <w:r w:rsidR="3020895C">
        <w:t>5</w:t>
      </w:r>
      <w:r w:rsidR="5887F5FB">
        <w:t xml:space="preserve"> </w:t>
      </w:r>
      <w:r w:rsidR="6DCFC640" w:rsidRPr="07E42D5D">
        <w:rPr>
          <w:rFonts w:ascii="Aptos" w:eastAsia="Aptos" w:hAnsi="Aptos" w:cs="Aptos"/>
          <w:color w:val="151A22"/>
        </w:rPr>
        <w:t xml:space="preserve">MSU received </w:t>
      </w:r>
      <w:r w:rsidR="5056F42C" w:rsidRPr="07E42D5D">
        <w:rPr>
          <w:rFonts w:ascii="Aptos" w:eastAsia="Aptos" w:hAnsi="Aptos" w:cs="Aptos"/>
          <w:color w:val="151A22"/>
        </w:rPr>
        <w:t>64,492</w:t>
      </w:r>
      <w:r w:rsidR="6DCFC640" w:rsidRPr="07E42D5D">
        <w:rPr>
          <w:rFonts w:ascii="Aptos" w:eastAsia="Aptos" w:hAnsi="Aptos" w:cs="Aptos"/>
          <w:color w:val="151A22"/>
        </w:rPr>
        <w:t xml:space="preserve"> applications for the fall class, exceeding last year’s </w:t>
      </w:r>
      <w:r w:rsidR="5056F42C" w:rsidRPr="07E42D5D">
        <w:rPr>
          <w:rFonts w:ascii="Aptos" w:eastAsia="Aptos" w:hAnsi="Aptos" w:cs="Aptos"/>
          <w:color w:val="151A22"/>
        </w:rPr>
        <w:t xml:space="preserve">62,138 </w:t>
      </w:r>
      <w:r w:rsidR="6DCFC640" w:rsidRPr="07E42D5D">
        <w:rPr>
          <w:rFonts w:ascii="Aptos" w:eastAsia="Aptos" w:hAnsi="Aptos" w:cs="Aptos"/>
          <w:color w:val="151A22"/>
        </w:rPr>
        <w:t xml:space="preserve">by </w:t>
      </w:r>
      <w:r w:rsidR="278EFAA9" w:rsidRPr="07E42D5D">
        <w:rPr>
          <w:rFonts w:ascii="Aptos" w:eastAsia="Aptos" w:hAnsi="Aptos" w:cs="Aptos"/>
          <w:color w:val="151A22"/>
        </w:rPr>
        <w:t>3.8</w:t>
      </w:r>
      <w:r w:rsidR="6DCFC640" w:rsidRPr="07E42D5D">
        <w:rPr>
          <w:rFonts w:ascii="Aptos" w:eastAsia="Aptos" w:hAnsi="Aptos" w:cs="Aptos"/>
          <w:color w:val="151A22"/>
        </w:rPr>
        <w:t>%</w:t>
      </w:r>
      <w:r w:rsidR="6F917DBA" w:rsidRPr="07E42D5D">
        <w:rPr>
          <w:rFonts w:ascii="Aptos" w:eastAsia="Aptos" w:hAnsi="Aptos" w:cs="Aptos"/>
          <w:color w:val="151A22"/>
        </w:rPr>
        <w:t>, therefore we believe we can continue to expect robust enrollment numbers.</w:t>
      </w:r>
    </w:p>
    <w:p w14:paraId="54A690E7" w14:textId="5B9F7C40" w:rsidR="00BE0713" w:rsidRDefault="00BE0713" w:rsidP="00FD3411">
      <w:pPr>
        <w:spacing w:after="0" w:line="240" w:lineRule="auto"/>
      </w:pPr>
    </w:p>
    <w:p w14:paraId="2D01BCD9" w14:textId="76488A30" w:rsidR="00BE0713" w:rsidRDefault="607E4A24" w:rsidP="00FD3411">
      <w:pPr>
        <w:spacing w:after="0" w:line="240" w:lineRule="auto"/>
      </w:pPr>
      <w:r>
        <w:t xml:space="preserve">While </w:t>
      </w:r>
      <w:r w:rsidR="6EC89CCE">
        <w:t xml:space="preserve">the </w:t>
      </w:r>
      <w:hyperlink r:id="rId8">
        <w:r w:rsidR="6EC89CCE" w:rsidRPr="2CC5150A">
          <w:rPr>
            <w:rStyle w:val="Hyperlink"/>
          </w:rPr>
          <w:t>number</w:t>
        </w:r>
      </w:hyperlink>
      <w:r w:rsidR="6EC89CCE">
        <w:t xml:space="preserve"> of </w:t>
      </w:r>
      <w:r>
        <w:t xml:space="preserve">tenure stream faculty </w:t>
      </w:r>
      <w:r w:rsidR="3E6DC862">
        <w:t>ha</w:t>
      </w:r>
      <w:r w:rsidR="0AB2921D">
        <w:t>s</w:t>
      </w:r>
      <w:r w:rsidR="3E6DC862">
        <w:t xml:space="preserve"> increased</w:t>
      </w:r>
      <w:r>
        <w:t xml:space="preserve"> by </w:t>
      </w:r>
      <w:r w:rsidR="1D91CF51">
        <w:t>2.49</w:t>
      </w:r>
      <w:r>
        <w:t>% (1</w:t>
      </w:r>
      <w:r w:rsidR="5A532E53">
        <w:t>,</w:t>
      </w:r>
      <w:r>
        <w:t>890</w:t>
      </w:r>
      <w:r w:rsidR="1D91CF51">
        <w:t xml:space="preserve"> to 1</w:t>
      </w:r>
      <w:r w:rsidR="14390B10">
        <w:t>,</w:t>
      </w:r>
      <w:r w:rsidR="1D91CF51">
        <w:t xml:space="preserve">937, the number of </w:t>
      </w:r>
      <w:r>
        <w:t xml:space="preserve">fixed-term </w:t>
      </w:r>
      <w:r w:rsidR="3F964D81">
        <w:t xml:space="preserve">faculty </w:t>
      </w:r>
      <w:r w:rsidR="1D91CF51">
        <w:t>has decreased</w:t>
      </w:r>
      <w:r w:rsidR="5734C29B">
        <w:t xml:space="preserve"> </w:t>
      </w:r>
      <w:r>
        <w:t xml:space="preserve">by </w:t>
      </w:r>
      <w:r w:rsidR="1D91CF51">
        <w:t>3.58</w:t>
      </w:r>
      <w:r>
        <w:t>% (1,230</w:t>
      </w:r>
      <w:r w:rsidR="1D91CF51">
        <w:t xml:space="preserve"> to 1,185</w:t>
      </w:r>
      <w:r>
        <w:t>)</w:t>
      </w:r>
      <w:r w:rsidR="59BD907D">
        <w:t xml:space="preserve"> between 202</w:t>
      </w:r>
      <w:r w:rsidR="1D91CF51">
        <w:t>4-25</w:t>
      </w:r>
      <w:r w:rsidR="59BD907D">
        <w:t xml:space="preserve"> and 202</w:t>
      </w:r>
      <w:r w:rsidR="1D91CF51">
        <w:t>5-26.</w:t>
      </w:r>
      <w:r w:rsidR="485DF2B3">
        <w:t xml:space="preserve"> Thus, the number of faculty has not kept pace with the student population.</w:t>
      </w:r>
    </w:p>
    <w:p w14:paraId="1ADF2A50" w14:textId="77777777" w:rsidR="00730BDE" w:rsidRDefault="00730BDE" w:rsidP="00FD3411">
      <w:pPr>
        <w:spacing w:after="0" w:line="240" w:lineRule="auto"/>
      </w:pPr>
    </w:p>
    <w:p w14:paraId="04688AC2" w14:textId="6FC0940A" w:rsidR="00BE0713" w:rsidRDefault="00BE0713" w:rsidP="00FD3411">
      <w:pPr>
        <w:spacing w:after="0" w:line="240" w:lineRule="auto"/>
      </w:pPr>
      <w:r>
        <w:t>F</w:t>
      </w:r>
      <w:r w:rsidR="2306A9B3">
        <w:t>urthermore, f</w:t>
      </w:r>
      <w:r>
        <w:t xml:space="preserve">aculty </w:t>
      </w:r>
      <w:proofErr w:type="gramStart"/>
      <w:r>
        <w:t>are</w:t>
      </w:r>
      <w:proofErr w:type="gramEnd"/>
      <w:r>
        <w:t xml:space="preserve"> </w:t>
      </w:r>
      <w:r w:rsidR="01FB7202">
        <w:t xml:space="preserve">key </w:t>
      </w:r>
      <w:r>
        <w:t xml:space="preserve">to supporting the President’s critical student success </w:t>
      </w:r>
      <w:r w:rsidR="495214C0">
        <w:t>initiatives</w:t>
      </w:r>
      <w:r>
        <w:t xml:space="preserve">. </w:t>
      </w:r>
      <w:r w:rsidR="679759CF">
        <w:t xml:space="preserve">New programs </w:t>
      </w:r>
      <w:r>
        <w:t xml:space="preserve">to </w:t>
      </w:r>
      <w:r w:rsidR="28E47274">
        <w:t xml:space="preserve">assist and encourage </w:t>
      </w:r>
      <w:r>
        <w:t>first gen</w:t>
      </w:r>
      <w:r w:rsidR="33E9C1BB">
        <w:t>eration college</w:t>
      </w:r>
      <w:r>
        <w:t xml:space="preserve"> students and transfer students </w:t>
      </w:r>
      <w:r w:rsidR="7347088A">
        <w:t>are supported</w:t>
      </w:r>
      <w:r>
        <w:t xml:space="preserve"> not only by advisors and </w:t>
      </w:r>
      <w:r w:rsidR="42F897AD">
        <w:t>professional staff</w:t>
      </w:r>
      <w:r>
        <w:t>, but</w:t>
      </w:r>
      <w:r w:rsidR="75536A27">
        <w:t xml:space="preserve"> by </w:t>
      </w:r>
      <w:r>
        <w:t xml:space="preserve">faculty </w:t>
      </w:r>
      <w:r w:rsidR="2919C173">
        <w:t>whose effort</w:t>
      </w:r>
      <w:r w:rsidR="5B4E7A9A">
        <w:t>s</w:t>
      </w:r>
      <w:r w:rsidR="2919C173">
        <w:t xml:space="preserve"> </w:t>
      </w:r>
      <w:r w:rsidR="6428EA31">
        <w:t>are</w:t>
      </w:r>
      <w:r w:rsidR="2919C173">
        <w:t xml:space="preserve"> central to</w:t>
      </w:r>
      <w:r>
        <w:t xml:space="preserve"> expanding experiential learning opportunities.</w:t>
      </w:r>
    </w:p>
    <w:p w14:paraId="03305CE0" w14:textId="77777777" w:rsidR="00BE0713" w:rsidRDefault="00BE0713" w:rsidP="00FD3411">
      <w:pPr>
        <w:spacing w:after="0" w:line="240" w:lineRule="auto"/>
      </w:pPr>
    </w:p>
    <w:p w14:paraId="337C7B69" w14:textId="4357A187" w:rsidR="00BE0713" w:rsidRPr="00BE0713" w:rsidRDefault="00BE0713" w:rsidP="00FD3411">
      <w:pPr>
        <w:spacing w:after="0" w:line="240" w:lineRule="auto"/>
        <w:rPr>
          <w:b/>
          <w:bCs/>
          <w:i/>
          <w:iCs/>
        </w:rPr>
      </w:pPr>
      <w:r w:rsidRPr="71F40830">
        <w:rPr>
          <w:b/>
          <w:bCs/>
          <w:i/>
          <w:iCs/>
        </w:rPr>
        <w:t>Research</w:t>
      </w:r>
    </w:p>
    <w:p w14:paraId="1B83C899" w14:textId="2BBCF6C2" w:rsidR="00BE0713" w:rsidRDefault="3F052931" w:rsidP="00FD3411">
      <w:pPr>
        <w:spacing w:after="0" w:line="240" w:lineRule="auto"/>
      </w:pPr>
      <w:r>
        <w:t>Impressively, in 202</w:t>
      </w:r>
      <w:r w:rsidR="596CF718">
        <w:t>5</w:t>
      </w:r>
      <w:r>
        <w:t xml:space="preserve"> there was a </w:t>
      </w:r>
      <w:r w:rsidR="00BE0713">
        <w:t>13.33% increase in research funding ($75</w:t>
      </w:r>
      <w:r w:rsidR="00295EDA">
        <w:t>9</w:t>
      </w:r>
      <w:r w:rsidR="002B3F13">
        <w:t xml:space="preserve">.2 million </w:t>
      </w:r>
      <w:r w:rsidR="00BE0713">
        <w:t>to $850</w:t>
      </w:r>
      <w:r w:rsidR="002B3F13">
        <w:t>.2 million</w:t>
      </w:r>
      <w:r w:rsidR="00BE0713">
        <w:t>)</w:t>
      </w:r>
      <w:r w:rsidR="32704312">
        <w:t>. As our faculty numbers have no</w:t>
      </w:r>
      <w:r w:rsidR="4C5DAB86">
        <w:t>t</w:t>
      </w:r>
      <w:r w:rsidR="32704312">
        <w:t xml:space="preserve"> </w:t>
      </w:r>
      <w:r w:rsidR="20592F67">
        <w:t>significantly</w:t>
      </w:r>
      <w:r w:rsidR="32704312">
        <w:t xml:space="preserve"> incre</w:t>
      </w:r>
      <w:r w:rsidR="1E3C78EE">
        <w:t xml:space="preserve">ased, </w:t>
      </w:r>
      <w:r w:rsidR="3C520473">
        <w:t xml:space="preserve">we can infer that faculty have both an increase in research funding, along with an increase in students to </w:t>
      </w:r>
      <w:r w:rsidR="3C520473">
        <w:lastRenderedPageBreak/>
        <w:t>educate. Our national rankings were stable in 202</w:t>
      </w:r>
      <w:r w:rsidR="0CA27C5D">
        <w:t>5</w:t>
      </w:r>
      <w:r w:rsidR="3C520473">
        <w:t>, again highlighting the s</w:t>
      </w:r>
      <w:r w:rsidR="1AE186EE">
        <w:t xml:space="preserve">uccessful efforts of our </w:t>
      </w:r>
      <w:r w:rsidR="002B3F13">
        <w:t>faculty</w:t>
      </w:r>
      <w:r w:rsidR="1AE186EE">
        <w:t>.</w:t>
      </w:r>
    </w:p>
    <w:p w14:paraId="180368B0" w14:textId="77777777" w:rsidR="00BE0713" w:rsidRDefault="00BE0713" w:rsidP="00FD3411">
      <w:pPr>
        <w:spacing w:after="0" w:line="240" w:lineRule="auto"/>
      </w:pPr>
    </w:p>
    <w:p w14:paraId="25C1E6E8" w14:textId="51CA3704" w:rsidR="00BE0713" w:rsidRPr="00BE0713" w:rsidRDefault="00BE0713" w:rsidP="52E396C0">
      <w:pPr>
        <w:spacing w:after="0" w:line="240" w:lineRule="auto"/>
        <w:rPr>
          <w:b/>
          <w:bCs/>
          <w:i/>
          <w:iCs/>
        </w:rPr>
      </w:pPr>
      <w:r w:rsidRPr="52E396C0">
        <w:rPr>
          <w:b/>
          <w:bCs/>
          <w:i/>
          <w:iCs/>
        </w:rPr>
        <w:t>Rankings</w:t>
      </w:r>
    </w:p>
    <w:p w14:paraId="59BD6702" w14:textId="13F0F60B" w:rsidR="00BE0713" w:rsidRDefault="6036B7CE" w:rsidP="00FD3411">
      <w:pPr>
        <w:spacing w:after="0" w:line="240" w:lineRule="auto"/>
        <w:rPr>
          <w:rFonts w:ascii="Lato" w:eastAsia="Lato" w:hAnsi="Lato" w:cs="Lato"/>
          <w:color w:val="202122"/>
          <w:sz w:val="28"/>
          <w:szCs w:val="28"/>
        </w:rPr>
      </w:pPr>
      <w:r>
        <w:t xml:space="preserve">Academic </w:t>
      </w:r>
      <w:r w:rsidR="71E2A0AB">
        <w:t>r</w:t>
      </w:r>
      <w:r w:rsidR="0F1F3D20">
        <w:t xml:space="preserve">ankings </w:t>
      </w:r>
      <w:proofErr w:type="gramStart"/>
      <w:r w:rsidR="0F1F3D20">
        <w:t>are a reflection of</w:t>
      </w:r>
      <w:proofErr w:type="gramEnd"/>
      <w:r w:rsidR="0F1F3D20">
        <w:t xml:space="preserve"> institutional prestige, driven in large part by faculty excellence.  </w:t>
      </w:r>
      <w:r w:rsidR="2A1B0C8E">
        <w:t xml:space="preserve">Our national rankings were stable </w:t>
      </w:r>
      <w:r w:rsidR="479BE074">
        <w:t>this past year</w:t>
      </w:r>
      <w:r w:rsidR="2A1B0C8E">
        <w:t>, again highlighting the successful efforts of our faculty. W</w:t>
      </w:r>
      <w:r w:rsidR="7444079E">
        <w:t>e maintained our strong presence in the U.S. News &amp; World Report rankings at 6</w:t>
      </w:r>
      <w:r w:rsidR="4CA038F2">
        <w:t>4</w:t>
      </w:r>
      <w:r w:rsidR="4CA038F2" w:rsidRPr="71F40830">
        <w:rPr>
          <w:vertAlign w:val="superscript"/>
        </w:rPr>
        <w:t>th</w:t>
      </w:r>
      <w:r w:rsidR="7444079E">
        <w:t xml:space="preserve"> </w:t>
      </w:r>
      <w:r w:rsidR="4CA038F2">
        <w:t xml:space="preserve">staying at </w:t>
      </w:r>
      <w:r w:rsidR="7444079E">
        <w:t>45</w:t>
      </w:r>
      <w:r w:rsidR="7444079E" w:rsidRPr="71F40830">
        <w:rPr>
          <w:vertAlign w:val="superscript"/>
        </w:rPr>
        <w:t>th</w:t>
      </w:r>
      <w:r w:rsidR="23BED01D" w:rsidRPr="00941616">
        <w:t xml:space="preserve"> </w:t>
      </w:r>
      <w:r w:rsidR="7444079E">
        <w:t xml:space="preserve">overall </w:t>
      </w:r>
      <w:r w:rsidR="76AA2BEF">
        <w:t xml:space="preserve">in the </w:t>
      </w:r>
      <w:r w:rsidR="76AA2BEF" w:rsidRPr="71F40830">
        <w:rPr>
          <w:i/>
          <w:iCs/>
        </w:rPr>
        <w:t>Washington Monthly</w:t>
      </w:r>
      <w:r w:rsidR="76AA2BEF">
        <w:t xml:space="preserve"> rankings </w:t>
      </w:r>
      <w:r w:rsidR="7444079E">
        <w:t xml:space="preserve">and </w:t>
      </w:r>
      <w:r w:rsidR="4CA038F2">
        <w:t>26</w:t>
      </w:r>
      <w:r w:rsidR="4CA038F2" w:rsidRPr="71F40830">
        <w:rPr>
          <w:vertAlign w:val="superscript"/>
        </w:rPr>
        <w:t>th</w:t>
      </w:r>
      <w:r w:rsidR="4CA038F2">
        <w:t xml:space="preserve"> </w:t>
      </w:r>
      <w:r w:rsidR="7444079E">
        <w:t xml:space="preserve">among public institutions. </w:t>
      </w:r>
      <w:r w:rsidR="5CFBB0A8">
        <w:t xml:space="preserve"> We also rank 60</w:t>
      </w:r>
      <w:r w:rsidR="00220CC0">
        <w:t>th</w:t>
      </w:r>
      <w:r w:rsidR="5CFBB0A8">
        <w:t xml:space="preserve"> in the recent Wall Street Journal rankings,</w:t>
      </w:r>
      <w:r w:rsidR="00172B5A">
        <w:t xml:space="preserve"> which is the third highest among the 16 </w:t>
      </w:r>
      <w:r w:rsidR="2763CB76">
        <w:t>p</w:t>
      </w:r>
      <w:r w:rsidR="00172B5A">
        <w:t xml:space="preserve">ublic institutions currently in the </w:t>
      </w:r>
      <w:r w:rsidR="7A027071">
        <w:t>B</w:t>
      </w:r>
      <w:r w:rsidR="00172B5A">
        <w:t xml:space="preserve">ig </w:t>
      </w:r>
      <w:r w:rsidR="7E8A2A72">
        <w:t>Ten.</w:t>
      </w:r>
      <w:r w:rsidR="00351FEC">
        <w:t xml:space="preserve"> Additionally, MSU has been ranked 85</w:t>
      </w:r>
      <w:r w:rsidR="00351FEC" w:rsidRPr="00941616">
        <w:rPr>
          <w:vertAlign w:val="superscript"/>
        </w:rPr>
        <w:t>th</w:t>
      </w:r>
      <w:r w:rsidR="00351FEC">
        <w:t xml:space="preserve"> among the world’s top 100 institutions, 36</w:t>
      </w:r>
      <w:r w:rsidR="00351FEC" w:rsidRPr="00941616">
        <w:rPr>
          <w:vertAlign w:val="superscript"/>
        </w:rPr>
        <w:t>th</w:t>
      </w:r>
      <w:r w:rsidR="00351FEC">
        <w:t xml:space="preserve"> among U.S. </w:t>
      </w:r>
      <w:r w:rsidR="00AE0206">
        <w:t>institutions, and 14</w:t>
      </w:r>
      <w:r w:rsidR="00AE0206" w:rsidRPr="00941616">
        <w:rPr>
          <w:vertAlign w:val="superscript"/>
        </w:rPr>
        <w:t>th</w:t>
      </w:r>
      <w:r w:rsidR="00AE0206">
        <w:t xml:space="preserve"> among public universities.</w:t>
      </w:r>
      <w:r w:rsidR="7E8A2A72">
        <w:t xml:space="preserve">  </w:t>
      </w:r>
      <w:r w:rsidR="380B1F66">
        <w:t xml:space="preserve"> </w:t>
      </w:r>
      <w:r w:rsidR="7444079E">
        <w:t>These accomplishments underscore the profound contributions of our faculty to MSU’s mission</w:t>
      </w:r>
      <w:r w:rsidR="26CBE306">
        <w:t>, external perception,</w:t>
      </w:r>
      <w:r w:rsidR="7444079E">
        <w:t xml:space="preserve"> and broader societal impact.</w:t>
      </w:r>
      <w:r w:rsidR="26439936">
        <w:t xml:space="preserve">  </w:t>
      </w:r>
    </w:p>
    <w:p w14:paraId="1E5CA972" w14:textId="77777777" w:rsidR="00BE0713" w:rsidRDefault="00BE0713" w:rsidP="00FD3411">
      <w:pPr>
        <w:spacing w:after="0" w:line="240" w:lineRule="auto"/>
        <w:rPr>
          <w:b/>
          <w:bCs/>
        </w:rPr>
      </w:pPr>
    </w:p>
    <w:p w14:paraId="3101E2B3" w14:textId="09699875" w:rsidR="00C4544C" w:rsidRPr="0074155B" w:rsidRDefault="00C4544C" w:rsidP="00FD3411">
      <w:pPr>
        <w:spacing w:after="0" w:line="240" w:lineRule="auto"/>
        <w:rPr>
          <w:b/>
          <w:bCs/>
        </w:rPr>
      </w:pPr>
      <w:r w:rsidRPr="0074155B">
        <w:rPr>
          <w:b/>
          <w:bCs/>
        </w:rPr>
        <w:t>Operating Context and Institutional Pressure</w:t>
      </w:r>
    </w:p>
    <w:p w14:paraId="362C7208" w14:textId="47A21512" w:rsidR="00C4544C" w:rsidRPr="0074155B" w:rsidRDefault="66D08679" w:rsidP="00FD3411">
      <w:pPr>
        <w:spacing w:after="0" w:line="240" w:lineRule="auto"/>
      </w:pPr>
      <w:r w:rsidRPr="0074155B">
        <w:t xml:space="preserve">Faculty at MSU are advancing the institution’s missions (teaching, research, and outreach) in an increasingly complex and challenging higher education environment. Nationally, public universities are facing heightened political scrutiny, growing constraints on academic </w:t>
      </w:r>
      <w:r w:rsidR="00CC6AAC" w:rsidRPr="0074155B">
        <w:t>freedom</w:t>
      </w:r>
      <w:r w:rsidRPr="0074155B">
        <w:t xml:space="preserve">, declining public trust in both expertise and the value of higher education, and significant </w:t>
      </w:r>
      <w:r w:rsidR="00CC6AAC" w:rsidRPr="0074155B">
        <w:t>volatil</w:t>
      </w:r>
      <w:r w:rsidR="62B3A3E4" w:rsidRPr="0074155B">
        <w:t>ity</w:t>
      </w:r>
      <w:r w:rsidRPr="0074155B">
        <w:t xml:space="preserve"> in external funding</w:t>
      </w:r>
      <w:r w:rsidR="00CC6AAC" w:rsidRPr="0074155B">
        <w:t xml:space="preserve">. These very real pressures shape the way faculty work in tangible and consequential ways. </w:t>
      </w:r>
    </w:p>
    <w:p w14:paraId="492CF22B" w14:textId="77777777" w:rsidR="00CC6AAC" w:rsidRPr="0074155B" w:rsidRDefault="00CC6AAC" w:rsidP="00FD3411">
      <w:pPr>
        <w:spacing w:after="0" w:line="240" w:lineRule="auto"/>
      </w:pPr>
    </w:p>
    <w:p w14:paraId="01D788CC" w14:textId="46C95C06" w:rsidR="00635B86" w:rsidRPr="0074155B" w:rsidRDefault="00CC6AAC" w:rsidP="00635B86">
      <w:pPr>
        <w:spacing w:after="0" w:line="240" w:lineRule="auto"/>
      </w:pPr>
      <w:r w:rsidRPr="0074155B">
        <w:t>At the institutional level, MSU faculty have absorbed the 9% universal budget reduction, including the loss of colleagues, reduced programmatic capacity, and increased service and instructional demands.</w:t>
      </w:r>
      <w:r w:rsidR="00635B86" w:rsidRPr="0074155B">
        <w:rPr>
          <w:rFonts w:eastAsia="Times New Roman" w:cs="Times New Roman"/>
          <w:kern w:val="0"/>
          <w14:ligatures w14:val="none"/>
        </w:rPr>
        <w:t xml:space="preserve"> </w:t>
      </w:r>
      <w:r w:rsidR="00635B86" w:rsidRPr="0074155B">
        <w:t>At the same time, faculty are being asked to engage meaningfully with several major presidential priorities unfolding concurrently, including the One Health initiative, General Education Modernization, academic-only budget redesign, and new advisory structures such as the Green and White Council. Each of these efforts reflects important institutional ambitions and long-term vision. Collectively, however, they have introduced overlapping demands on faculty time, attention, and expertise, often in the absence of clear timelines, resource commitments, or defined pathways for faculty input.</w:t>
      </w:r>
    </w:p>
    <w:p w14:paraId="38491463" w14:textId="77777777" w:rsidR="00635B86" w:rsidRPr="0074155B" w:rsidRDefault="00635B86" w:rsidP="00635B86">
      <w:pPr>
        <w:spacing w:after="0" w:line="240" w:lineRule="auto"/>
      </w:pPr>
    </w:p>
    <w:p w14:paraId="00DA6EA9" w14:textId="53777AF3" w:rsidR="00CC6AAC" w:rsidRDefault="00CC6AAC" w:rsidP="00FD3411">
      <w:pPr>
        <w:spacing w:after="0" w:line="240" w:lineRule="auto"/>
      </w:pPr>
      <w:r w:rsidRPr="0074155B">
        <w:t xml:space="preserve"> Despite these constraints, faculty productivity in teaching, research and student support </w:t>
      </w:r>
      <w:r w:rsidR="00842EB5" w:rsidRPr="0074155B">
        <w:t>h</w:t>
      </w:r>
      <w:r w:rsidRPr="0074155B">
        <w:t xml:space="preserve">as remained strong, a testament to our commitment, adaptability and professionalism. We are also navigating rapidly evolving </w:t>
      </w:r>
      <w:r w:rsidR="00635B86" w:rsidRPr="0074155B">
        <w:t>expectations</w:t>
      </w:r>
      <w:r w:rsidRPr="0074155B">
        <w:t xml:space="preserve"> related to generative artificial intelligence in teaching and research. While AI presents </w:t>
      </w:r>
      <w:r w:rsidR="00635B86" w:rsidRPr="0074155B">
        <w:t>opportunities</w:t>
      </w:r>
      <w:r w:rsidRPr="0074155B">
        <w:t xml:space="preserve">, it has also introduced new pedagogical and ethical responsibilities that are largely </w:t>
      </w:r>
      <w:r w:rsidR="00635B86" w:rsidRPr="0074155B">
        <w:t>siloed and hidden within our work.</w:t>
      </w:r>
    </w:p>
    <w:p w14:paraId="3A6E1244" w14:textId="77777777" w:rsidR="00635B86" w:rsidRDefault="00635B86" w:rsidP="00FD3411">
      <w:pPr>
        <w:spacing w:after="0" w:line="240" w:lineRule="auto"/>
      </w:pPr>
    </w:p>
    <w:p w14:paraId="209F1948" w14:textId="29B49FEF" w:rsidR="00B50806" w:rsidRPr="00BE0713" w:rsidRDefault="00B50806" w:rsidP="00FD3411">
      <w:pPr>
        <w:spacing w:after="0" w:line="240" w:lineRule="auto"/>
        <w:rPr>
          <w:b/>
          <w:bCs/>
        </w:rPr>
      </w:pPr>
      <w:r w:rsidRPr="00B50806">
        <w:rPr>
          <w:b/>
          <w:bCs/>
        </w:rPr>
        <w:t>Faculty Continuity and Institutional Strength</w:t>
      </w:r>
    </w:p>
    <w:p w14:paraId="5FBFD819" w14:textId="62C23D75" w:rsidR="00EC70BB" w:rsidRDefault="00EC70BB" w:rsidP="00F72B0A">
      <w:pPr>
        <w:spacing w:after="0" w:line="240" w:lineRule="auto"/>
      </w:pPr>
      <w:r w:rsidRPr="00EC70BB">
        <w:t xml:space="preserve">Supporting the presidential priority of becoming a next-generation organization requires sustained attention to faculty excellence, continuity, and success. Faculty play </w:t>
      </w:r>
      <w:r w:rsidR="618B8D1D">
        <w:t>the</w:t>
      </w:r>
      <w:r w:rsidRPr="00EC70BB">
        <w:t xml:space="preserve"> central </w:t>
      </w:r>
      <w:r w:rsidRPr="00EC70BB">
        <w:lastRenderedPageBreak/>
        <w:t>role in mentorship, research, and academic climate, all of which are critical to student achievement and institutional strength.</w:t>
      </w:r>
    </w:p>
    <w:p w14:paraId="2AA0399F" w14:textId="77777777" w:rsidR="00F72B0A" w:rsidRPr="00F72B0A" w:rsidRDefault="00F72B0A" w:rsidP="00F72B0A">
      <w:pPr>
        <w:spacing w:after="0" w:line="240" w:lineRule="auto"/>
      </w:pPr>
    </w:p>
    <w:p w14:paraId="240D0DE8" w14:textId="447FA697" w:rsidR="00F72B0A" w:rsidRDefault="00F72B0A" w:rsidP="00F72B0A">
      <w:pPr>
        <w:spacing w:after="0" w:line="240" w:lineRule="auto"/>
      </w:pPr>
      <w:r w:rsidRPr="00F72B0A">
        <w:t xml:space="preserve">As MSU’s domestic student body becomes increasingly diverse—students of color now make up 27.8% of the class—faculty diversity is equally vital to promoting student success. Research consistently demonstrates that a diverse faculty contributes to improved educational outcomes by offering varied perspectives, mentorship opportunities, and relatable role models for underrepresented students. </w:t>
      </w:r>
      <w:r w:rsidR="00DE5D57" w:rsidRPr="00EC70BB">
        <w:t>A faculty that brings varied perspectives and experiences strengthens teaching, mentorship, and the broader educational experience</w:t>
      </w:r>
      <w:r w:rsidR="000C3513">
        <w:t>.</w:t>
      </w:r>
    </w:p>
    <w:p w14:paraId="2EF245B9" w14:textId="77777777" w:rsidR="00F72B0A" w:rsidRDefault="00F72B0A" w:rsidP="00F72B0A">
      <w:pPr>
        <w:spacing w:after="0" w:line="240" w:lineRule="auto"/>
      </w:pPr>
    </w:p>
    <w:p w14:paraId="590F1DFA" w14:textId="68505A1A" w:rsidR="00F72B0A" w:rsidRPr="00F72B0A" w:rsidRDefault="00F72B0A" w:rsidP="00F72B0A">
      <w:pPr>
        <w:spacing w:after="0" w:line="240" w:lineRule="auto"/>
      </w:pPr>
      <w:r w:rsidRPr="00F72B0A">
        <w:t>Investing in faculty not only supports the recruitment and retention of diverse faculty but also ensures that MSU remains a welcoming and supportive environment where both students and faculty can thrive. Strengthening these connections reinforces our commitment to fostering a next-generation organization where student and faculty success go hand in hand.</w:t>
      </w:r>
    </w:p>
    <w:p w14:paraId="678E5E9D" w14:textId="77777777" w:rsidR="00BE4EFA" w:rsidRDefault="00BE4EFA" w:rsidP="00FD3411">
      <w:pPr>
        <w:spacing w:after="0" w:line="240" w:lineRule="auto"/>
        <w:rPr>
          <w:b/>
          <w:bCs/>
        </w:rPr>
      </w:pPr>
    </w:p>
    <w:p w14:paraId="327ABA46" w14:textId="77777777" w:rsidR="003D358E" w:rsidRDefault="003D358E" w:rsidP="00FD3411">
      <w:pPr>
        <w:spacing w:after="0" w:line="240" w:lineRule="auto"/>
        <w:rPr>
          <w:b/>
          <w:bCs/>
        </w:rPr>
      </w:pPr>
    </w:p>
    <w:p w14:paraId="718B7C05" w14:textId="1666E68B" w:rsidR="00BE0713" w:rsidRPr="00BE0713" w:rsidRDefault="00BE0713" w:rsidP="00FD3411">
      <w:pPr>
        <w:spacing w:after="0" w:line="240" w:lineRule="auto"/>
        <w:rPr>
          <w:b/>
          <w:bCs/>
        </w:rPr>
      </w:pPr>
      <w:r w:rsidRPr="00BE0713">
        <w:rPr>
          <w:b/>
          <w:bCs/>
        </w:rPr>
        <w:t>BIG TEN</w:t>
      </w:r>
      <w:r w:rsidR="003D358E">
        <w:rPr>
          <w:b/>
          <w:bCs/>
        </w:rPr>
        <w:t xml:space="preserve"> Comparisons</w:t>
      </w:r>
    </w:p>
    <w:p w14:paraId="38D8C4BF" w14:textId="5C37249A" w:rsidR="00BE0713" w:rsidRDefault="7444079E" w:rsidP="07E42D5D">
      <w:pPr>
        <w:spacing w:after="0" w:line="240" w:lineRule="auto"/>
      </w:pPr>
      <w:r>
        <w:t xml:space="preserve">As we navigate the evolving landscape of higher education, we are mindful of the competitive nature of faculty compensation within the expanding Big Ten, which now includes prestigious institutions like UCLA and the University of Washington. In the most recent AAUP faculty salary survey, Michigan State University ranks 7th for professors, </w:t>
      </w:r>
      <w:r w:rsidR="4CA038F2">
        <w:t>10</w:t>
      </w:r>
      <w:r>
        <w:t>th for associate professors, and 1</w:t>
      </w:r>
      <w:r w:rsidR="00BE0713">
        <w:t>6</w:t>
      </w:r>
      <w:r>
        <w:t xml:space="preserve">th for assistant professors among </w:t>
      </w:r>
      <w:r w:rsidR="4F2FFF0A">
        <w:t>the</w:t>
      </w:r>
      <w:r w:rsidR="00BE0713">
        <w:t xml:space="preserve"> 1</w:t>
      </w:r>
      <w:r w:rsidR="00C635B2">
        <w:t>6</w:t>
      </w:r>
      <w:r w:rsidR="00BE0713">
        <w:t xml:space="preserve">th </w:t>
      </w:r>
      <w:r w:rsidR="7BBDF1DA">
        <w:t>p</w:t>
      </w:r>
      <w:r>
        <w:t xml:space="preserve">ublic Big Ten institutions. </w:t>
      </w:r>
      <w:r w:rsidR="781E21FE">
        <w:t>It is important to note that comparisons across institutions can be challenging due to variations in faculty composition, which can impact direct comparisons; however,</w:t>
      </w:r>
      <w:r w:rsidR="4FE1E519">
        <w:t xml:space="preserve"> </w:t>
      </w:r>
      <w:r w:rsidR="26244B92">
        <w:t>the</w:t>
      </w:r>
      <w:r>
        <w:t xml:space="preserve"> weighted average salary places </w:t>
      </w:r>
      <w:r w:rsidR="2C6B2948">
        <w:t>MSU</w:t>
      </w:r>
      <w:r w:rsidR="3A462DFA">
        <w:t xml:space="preserve"> </w:t>
      </w:r>
      <w:r w:rsidR="3DEFC6B1">
        <w:t>12</w:t>
      </w:r>
      <w:r>
        <w:t>th in the conference</w:t>
      </w:r>
      <w:r w:rsidRPr="71F40830">
        <w:rPr>
          <w:rFonts w:ascii="Arial" w:hAnsi="Arial" w:cs="Arial"/>
        </w:rPr>
        <w:t>​​</w:t>
      </w:r>
      <w:r>
        <w:t>.</w:t>
      </w:r>
      <w:r w:rsidR="67C9F891">
        <w:t xml:space="preserve"> This underscores the need for strategic investment in faculty compensation to maintain and enhance our competitiveness as a leading research university within this dynamic and growing consortium.</w:t>
      </w:r>
    </w:p>
    <w:p w14:paraId="299737F7" w14:textId="1BF090B5" w:rsidR="00B178D0" w:rsidRPr="00BE0713" w:rsidRDefault="00B178D0" w:rsidP="00FD3411">
      <w:pPr>
        <w:spacing w:after="0" w:line="240" w:lineRule="auto"/>
      </w:pPr>
    </w:p>
    <w:p w14:paraId="6F00AAFA" w14:textId="263364A4" w:rsidR="00BE0713" w:rsidRDefault="00BE0713" w:rsidP="00FD3411">
      <w:pPr>
        <w:spacing w:after="0" w:line="240" w:lineRule="auto"/>
      </w:pPr>
      <w:r>
        <w:t>It is important to note that comparisons across institutions can be challenging due to variations in faculty composition, which can impact direct comparisons. This underscores the need for strategic investment in faculty compensation to maintain and enhance our competitiveness as a leading research university within this dynamic and growing consortium.</w:t>
      </w:r>
    </w:p>
    <w:p w14:paraId="50036C7F" w14:textId="0391A05A" w:rsidR="00B178D0" w:rsidRDefault="00B178D0" w:rsidP="00FD3411">
      <w:pPr>
        <w:spacing w:after="0" w:line="240" w:lineRule="auto"/>
      </w:pPr>
    </w:p>
    <w:p w14:paraId="1A78989C" w14:textId="48D04B08" w:rsidR="004310F3" w:rsidRPr="00953A5E" w:rsidRDefault="027A4790" w:rsidP="00FD3411">
      <w:pPr>
        <w:spacing w:after="0" w:line="240" w:lineRule="auto"/>
        <w:rPr>
          <w:rFonts w:ascii="Aptos" w:eastAsia="Aptos" w:hAnsi="Aptos" w:cs="Aptos"/>
        </w:rPr>
      </w:pPr>
      <w:r w:rsidRPr="187582AD">
        <w:rPr>
          <w:rFonts w:ascii="Aptos" w:eastAsia="Aptos" w:hAnsi="Aptos" w:cs="Aptos"/>
        </w:rPr>
        <w:t xml:space="preserve">A commitment to investing in faculty is an investment in the future of the university. Faculty are at the heart of our research, student engagement, and academic reputation. By </w:t>
      </w:r>
      <w:r w:rsidR="006F7C48">
        <w:rPr>
          <w:rFonts w:ascii="Aptos" w:eastAsia="Aptos" w:hAnsi="Aptos" w:cs="Aptos"/>
        </w:rPr>
        <w:t>acknowledging the impact of our faculty</w:t>
      </w:r>
      <w:r w:rsidRPr="187582AD">
        <w:rPr>
          <w:rFonts w:ascii="Aptos" w:eastAsia="Aptos" w:hAnsi="Aptos" w:cs="Aptos"/>
        </w:rPr>
        <w:t>, we not only strengthen the morale and stability of our current faculty, but we also signal to prospective faculty members that this institution values their contributions and is committed to fostering an environment of excellence. This investment will ensure that we continue to offer a world-class education, retain exceptional talent, and maintain our reputation as a leading institution of higher learning.</w:t>
      </w:r>
    </w:p>
    <w:p w14:paraId="62D7E060" w14:textId="2BD89D1B" w:rsidR="00C21D7B" w:rsidRDefault="00C21D7B" w:rsidP="00C21D7B">
      <w:pPr>
        <w:spacing w:after="0" w:line="240" w:lineRule="auto"/>
      </w:pPr>
    </w:p>
    <w:p w14:paraId="0EC7B631" w14:textId="4A54DFF7" w:rsidR="00C21D7B" w:rsidRPr="00796604" w:rsidRDefault="00C21D7B" w:rsidP="00C21D7B">
      <w:pPr>
        <w:spacing w:after="0" w:line="240" w:lineRule="auto"/>
        <w:rPr>
          <w:b/>
          <w:bCs/>
        </w:rPr>
      </w:pPr>
      <w:r w:rsidRPr="00796604">
        <w:rPr>
          <w:b/>
          <w:bCs/>
        </w:rPr>
        <w:t xml:space="preserve">Recommendation </w:t>
      </w:r>
    </w:p>
    <w:p w14:paraId="1EA53E2F" w14:textId="52C07569" w:rsidR="00C21D7B" w:rsidRDefault="00C21D7B" w:rsidP="00C21D7B">
      <w:pPr>
        <w:spacing w:after="0" w:line="240" w:lineRule="auto"/>
      </w:pPr>
    </w:p>
    <w:p w14:paraId="1833A489" w14:textId="038FB544" w:rsidR="00420D4F" w:rsidRDefault="7B09B61E" w:rsidP="00420D4F">
      <w:pPr>
        <w:spacing w:after="0" w:line="240" w:lineRule="auto"/>
      </w:pPr>
      <w:r>
        <w:t>Based on all the information provided, including the exemplary work of the faculty over the past year, the need to recruit and retain tenure-stream faculty, and the importance of addressing wage equity and salary alignment with peers</w:t>
      </w:r>
      <w:r w:rsidRPr="00B5475B">
        <w:t xml:space="preserve">, the University Committee on Faculty Affairs (UCFA) recommends </w:t>
      </w:r>
      <w:r w:rsidR="5362DBD7" w:rsidRPr="00B5475B">
        <w:t xml:space="preserve">that the university </w:t>
      </w:r>
      <w:r w:rsidR="5EBBA6C2" w:rsidRPr="00B5475B">
        <w:t xml:space="preserve">provide merit </w:t>
      </w:r>
      <w:r w:rsidR="3072824E" w:rsidRPr="00B5475B">
        <w:t>raises at or above the inflation rate.</w:t>
      </w:r>
    </w:p>
    <w:p w14:paraId="13A91B1F" w14:textId="438D2E82" w:rsidR="00420D4F" w:rsidRDefault="00420D4F" w:rsidP="00420D4F">
      <w:pPr>
        <w:spacing w:after="0" w:line="240" w:lineRule="auto"/>
      </w:pPr>
    </w:p>
    <w:p w14:paraId="63C67BD2" w14:textId="5BA5610B" w:rsidR="00420D4F" w:rsidRDefault="00420D4F" w:rsidP="00420D4F">
      <w:pPr>
        <w:spacing w:after="0" w:line="240" w:lineRule="auto"/>
      </w:pPr>
      <w:r w:rsidRPr="00420D4F">
        <w:t>Investing in competitive and equitable salaries is essential for retaining and attracting the exceptional faculty who advance MSU’s mission of education, research, and community engagement. Such investments also reinforce the university’s standing as a leading institution in higher education and demonstrate a steadfast commitment to valuing faculty contributions and supporting their professional growth.</w:t>
      </w:r>
    </w:p>
    <w:p w14:paraId="6AEA447F" w14:textId="77777777" w:rsidR="00951889" w:rsidRDefault="00951889" w:rsidP="000C3513">
      <w:pPr>
        <w:spacing w:after="0" w:line="240" w:lineRule="auto"/>
      </w:pPr>
    </w:p>
    <w:p w14:paraId="0B1E5EB4" w14:textId="3845DADE" w:rsidR="004310F3" w:rsidRDefault="000C3513" w:rsidP="000C3513">
      <w:pPr>
        <w:spacing w:after="0" w:line="240" w:lineRule="auto"/>
      </w:pPr>
      <w:r>
        <w:t>We appreciate the continued collaboration with the Provost’s Office in sustaining MSU’s tradition of academic excellence. Faculty contributions remain essential to the university’s mission, and continued recognition of that work is vital to MSU’s future.</w:t>
      </w:r>
    </w:p>
    <w:sectPr w:rsidR="0043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378C"/>
    <w:multiLevelType w:val="hybridMultilevel"/>
    <w:tmpl w:val="DC08ABFE"/>
    <w:lvl w:ilvl="0" w:tplc="C9F08822">
      <w:start w:val="1"/>
      <w:numFmt w:val="bullet"/>
      <w:lvlText w:val=""/>
      <w:lvlJc w:val="left"/>
      <w:pPr>
        <w:ind w:left="720" w:hanging="360"/>
      </w:pPr>
      <w:rPr>
        <w:rFonts w:ascii="Symbol" w:hAnsi="Symbol" w:hint="default"/>
      </w:rPr>
    </w:lvl>
    <w:lvl w:ilvl="1" w:tplc="103642B4">
      <w:start w:val="1"/>
      <w:numFmt w:val="bullet"/>
      <w:lvlText w:val="o"/>
      <w:lvlJc w:val="left"/>
      <w:pPr>
        <w:ind w:left="1440" w:hanging="360"/>
      </w:pPr>
      <w:rPr>
        <w:rFonts w:ascii="Courier New" w:hAnsi="Courier New" w:hint="default"/>
      </w:rPr>
    </w:lvl>
    <w:lvl w:ilvl="2" w:tplc="7BA01AF0">
      <w:start w:val="1"/>
      <w:numFmt w:val="bullet"/>
      <w:lvlText w:val=""/>
      <w:lvlJc w:val="left"/>
      <w:pPr>
        <w:ind w:left="2160" w:hanging="360"/>
      </w:pPr>
      <w:rPr>
        <w:rFonts w:ascii="Wingdings" w:hAnsi="Wingdings" w:hint="default"/>
      </w:rPr>
    </w:lvl>
    <w:lvl w:ilvl="3" w:tplc="E2DC8FCC">
      <w:start w:val="1"/>
      <w:numFmt w:val="bullet"/>
      <w:lvlText w:val=""/>
      <w:lvlJc w:val="left"/>
      <w:pPr>
        <w:ind w:left="2880" w:hanging="360"/>
      </w:pPr>
      <w:rPr>
        <w:rFonts w:ascii="Symbol" w:hAnsi="Symbol" w:hint="default"/>
      </w:rPr>
    </w:lvl>
    <w:lvl w:ilvl="4" w:tplc="EA5EAAEC">
      <w:start w:val="1"/>
      <w:numFmt w:val="bullet"/>
      <w:lvlText w:val="o"/>
      <w:lvlJc w:val="left"/>
      <w:pPr>
        <w:ind w:left="3600" w:hanging="360"/>
      </w:pPr>
      <w:rPr>
        <w:rFonts w:ascii="Courier New" w:hAnsi="Courier New" w:hint="default"/>
      </w:rPr>
    </w:lvl>
    <w:lvl w:ilvl="5" w:tplc="9C7015AA">
      <w:start w:val="1"/>
      <w:numFmt w:val="bullet"/>
      <w:lvlText w:val=""/>
      <w:lvlJc w:val="left"/>
      <w:pPr>
        <w:ind w:left="4320" w:hanging="360"/>
      </w:pPr>
      <w:rPr>
        <w:rFonts w:ascii="Wingdings" w:hAnsi="Wingdings" w:hint="default"/>
      </w:rPr>
    </w:lvl>
    <w:lvl w:ilvl="6" w:tplc="81E0DF7C">
      <w:start w:val="1"/>
      <w:numFmt w:val="bullet"/>
      <w:lvlText w:val=""/>
      <w:lvlJc w:val="left"/>
      <w:pPr>
        <w:ind w:left="5040" w:hanging="360"/>
      </w:pPr>
      <w:rPr>
        <w:rFonts w:ascii="Symbol" w:hAnsi="Symbol" w:hint="default"/>
      </w:rPr>
    </w:lvl>
    <w:lvl w:ilvl="7" w:tplc="38D80AE0">
      <w:start w:val="1"/>
      <w:numFmt w:val="bullet"/>
      <w:lvlText w:val="o"/>
      <w:lvlJc w:val="left"/>
      <w:pPr>
        <w:ind w:left="5760" w:hanging="360"/>
      </w:pPr>
      <w:rPr>
        <w:rFonts w:ascii="Courier New" w:hAnsi="Courier New" w:hint="default"/>
      </w:rPr>
    </w:lvl>
    <w:lvl w:ilvl="8" w:tplc="A4086928">
      <w:start w:val="1"/>
      <w:numFmt w:val="bullet"/>
      <w:lvlText w:val=""/>
      <w:lvlJc w:val="left"/>
      <w:pPr>
        <w:ind w:left="6480" w:hanging="360"/>
      </w:pPr>
      <w:rPr>
        <w:rFonts w:ascii="Wingdings" w:hAnsi="Wingdings" w:hint="default"/>
      </w:rPr>
    </w:lvl>
  </w:abstractNum>
  <w:abstractNum w:abstractNumId="1" w15:restartNumberingAfterBreak="0">
    <w:nsid w:val="286FDD18"/>
    <w:multiLevelType w:val="hybridMultilevel"/>
    <w:tmpl w:val="B1AECECA"/>
    <w:lvl w:ilvl="0" w:tplc="A074FAB0">
      <w:start w:val="1"/>
      <w:numFmt w:val="bullet"/>
      <w:lvlText w:val=""/>
      <w:lvlJc w:val="left"/>
      <w:pPr>
        <w:ind w:left="720" w:hanging="360"/>
      </w:pPr>
      <w:rPr>
        <w:rFonts w:ascii="Symbol" w:hAnsi="Symbol" w:hint="default"/>
      </w:rPr>
    </w:lvl>
    <w:lvl w:ilvl="1" w:tplc="E544F44A">
      <w:start w:val="1"/>
      <w:numFmt w:val="bullet"/>
      <w:lvlText w:val="o"/>
      <w:lvlJc w:val="left"/>
      <w:pPr>
        <w:ind w:left="1440" w:hanging="360"/>
      </w:pPr>
      <w:rPr>
        <w:rFonts w:ascii="Courier New" w:hAnsi="Courier New" w:hint="default"/>
      </w:rPr>
    </w:lvl>
    <w:lvl w:ilvl="2" w:tplc="4B627130">
      <w:start w:val="1"/>
      <w:numFmt w:val="bullet"/>
      <w:lvlText w:val=""/>
      <w:lvlJc w:val="left"/>
      <w:pPr>
        <w:ind w:left="2160" w:hanging="360"/>
      </w:pPr>
      <w:rPr>
        <w:rFonts w:ascii="Wingdings" w:hAnsi="Wingdings" w:hint="default"/>
      </w:rPr>
    </w:lvl>
    <w:lvl w:ilvl="3" w:tplc="A6766C2C">
      <w:start w:val="1"/>
      <w:numFmt w:val="bullet"/>
      <w:lvlText w:val=""/>
      <w:lvlJc w:val="left"/>
      <w:pPr>
        <w:ind w:left="2880" w:hanging="360"/>
      </w:pPr>
      <w:rPr>
        <w:rFonts w:ascii="Symbol" w:hAnsi="Symbol" w:hint="default"/>
      </w:rPr>
    </w:lvl>
    <w:lvl w:ilvl="4" w:tplc="376C7B96">
      <w:start w:val="1"/>
      <w:numFmt w:val="bullet"/>
      <w:lvlText w:val="o"/>
      <w:lvlJc w:val="left"/>
      <w:pPr>
        <w:ind w:left="3600" w:hanging="360"/>
      </w:pPr>
      <w:rPr>
        <w:rFonts w:ascii="Courier New" w:hAnsi="Courier New" w:hint="default"/>
      </w:rPr>
    </w:lvl>
    <w:lvl w:ilvl="5" w:tplc="B9A6C37C">
      <w:start w:val="1"/>
      <w:numFmt w:val="bullet"/>
      <w:lvlText w:val=""/>
      <w:lvlJc w:val="left"/>
      <w:pPr>
        <w:ind w:left="4320" w:hanging="360"/>
      </w:pPr>
      <w:rPr>
        <w:rFonts w:ascii="Wingdings" w:hAnsi="Wingdings" w:hint="default"/>
      </w:rPr>
    </w:lvl>
    <w:lvl w:ilvl="6" w:tplc="012A2580">
      <w:start w:val="1"/>
      <w:numFmt w:val="bullet"/>
      <w:lvlText w:val=""/>
      <w:lvlJc w:val="left"/>
      <w:pPr>
        <w:ind w:left="5040" w:hanging="360"/>
      </w:pPr>
      <w:rPr>
        <w:rFonts w:ascii="Symbol" w:hAnsi="Symbol" w:hint="default"/>
      </w:rPr>
    </w:lvl>
    <w:lvl w:ilvl="7" w:tplc="28A47E48">
      <w:start w:val="1"/>
      <w:numFmt w:val="bullet"/>
      <w:lvlText w:val="o"/>
      <w:lvlJc w:val="left"/>
      <w:pPr>
        <w:ind w:left="5760" w:hanging="360"/>
      </w:pPr>
      <w:rPr>
        <w:rFonts w:ascii="Courier New" w:hAnsi="Courier New" w:hint="default"/>
      </w:rPr>
    </w:lvl>
    <w:lvl w:ilvl="8" w:tplc="33989826">
      <w:start w:val="1"/>
      <w:numFmt w:val="bullet"/>
      <w:lvlText w:val=""/>
      <w:lvlJc w:val="left"/>
      <w:pPr>
        <w:ind w:left="6480" w:hanging="360"/>
      </w:pPr>
      <w:rPr>
        <w:rFonts w:ascii="Wingdings" w:hAnsi="Wingdings" w:hint="default"/>
      </w:rPr>
    </w:lvl>
  </w:abstractNum>
  <w:abstractNum w:abstractNumId="2" w15:restartNumberingAfterBreak="0">
    <w:nsid w:val="74162F68"/>
    <w:multiLevelType w:val="multilevel"/>
    <w:tmpl w:val="C7467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92050"/>
    <w:multiLevelType w:val="hybridMultilevel"/>
    <w:tmpl w:val="EDAA489E"/>
    <w:lvl w:ilvl="0" w:tplc="06ECFA28">
      <w:start w:val="1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472588">
    <w:abstractNumId w:val="0"/>
  </w:num>
  <w:num w:numId="2" w16cid:durableId="133569799">
    <w:abstractNumId w:val="1"/>
  </w:num>
  <w:num w:numId="3" w16cid:durableId="1534223165">
    <w:abstractNumId w:val="3"/>
  </w:num>
  <w:num w:numId="4" w16cid:durableId="21667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13"/>
    <w:rsid w:val="00002835"/>
    <w:rsid w:val="00003378"/>
    <w:rsid w:val="00003ACC"/>
    <w:rsid w:val="000270DC"/>
    <w:rsid w:val="00044536"/>
    <w:rsid w:val="0008267D"/>
    <w:rsid w:val="0009546C"/>
    <w:rsid w:val="000B74CC"/>
    <w:rsid w:val="000C3513"/>
    <w:rsid w:val="001227E1"/>
    <w:rsid w:val="00122BD5"/>
    <w:rsid w:val="00125A6D"/>
    <w:rsid w:val="00163D36"/>
    <w:rsid w:val="00165CC8"/>
    <w:rsid w:val="0017079A"/>
    <w:rsid w:val="00172B5A"/>
    <w:rsid w:val="00177BB4"/>
    <w:rsid w:val="00182C21"/>
    <w:rsid w:val="001E558C"/>
    <w:rsid w:val="001F4956"/>
    <w:rsid w:val="00202EDD"/>
    <w:rsid w:val="002146D1"/>
    <w:rsid w:val="0021785A"/>
    <w:rsid w:val="00220CC0"/>
    <w:rsid w:val="002533EA"/>
    <w:rsid w:val="00295EDA"/>
    <w:rsid w:val="002A7629"/>
    <w:rsid w:val="002A7EC1"/>
    <w:rsid w:val="002B3F13"/>
    <w:rsid w:val="002D1E7B"/>
    <w:rsid w:val="0031372D"/>
    <w:rsid w:val="003221D9"/>
    <w:rsid w:val="00326BF1"/>
    <w:rsid w:val="00342C4E"/>
    <w:rsid w:val="00343B43"/>
    <w:rsid w:val="00351FEC"/>
    <w:rsid w:val="00366C42"/>
    <w:rsid w:val="003707BB"/>
    <w:rsid w:val="00375FEE"/>
    <w:rsid w:val="00384899"/>
    <w:rsid w:val="003D358E"/>
    <w:rsid w:val="003F77C0"/>
    <w:rsid w:val="00402D0A"/>
    <w:rsid w:val="00410398"/>
    <w:rsid w:val="00420D4F"/>
    <w:rsid w:val="004221D2"/>
    <w:rsid w:val="00423C1F"/>
    <w:rsid w:val="004310F3"/>
    <w:rsid w:val="00474C58"/>
    <w:rsid w:val="00482F88"/>
    <w:rsid w:val="004A1B89"/>
    <w:rsid w:val="004B168D"/>
    <w:rsid w:val="004B58AB"/>
    <w:rsid w:val="004B7056"/>
    <w:rsid w:val="004E4C4F"/>
    <w:rsid w:val="004F5CD7"/>
    <w:rsid w:val="00526884"/>
    <w:rsid w:val="00563F5E"/>
    <w:rsid w:val="0058351F"/>
    <w:rsid w:val="00587078"/>
    <w:rsid w:val="005B73D3"/>
    <w:rsid w:val="005D6E24"/>
    <w:rsid w:val="005E3F44"/>
    <w:rsid w:val="005F4932"/>
    <w:rsid w:val="00605639"/>
    <w:rsid w:val="0063400D"/>
    <w:rsid w:val="00635B86"/>
    <w:rsid w:val="00661D48"/>
    <w:rsid w:val="00662279"/>
    <w:rsid w:val="0068551A"/>
    <w:rsid w:val="006A5C27"/>
    <w:rsid w:val="006D5D9E"/>
    <w:rsid w:val="006E6350"/>
    <w:rsid w:val="006F4182"/>
    <w:rsid w:val="006F7C48"/>
    <w:rsid w:val="00712953"/>
    <w:rsid w:val="0071678D"/>
    <w:rsid w:val="00727EE8"/>
    <w:rsid w:val="00730BDE"/>
    <w:rsid w:val="00733431"/>
    <w:rsid w:val="00736F98"/>
    <w:rsid w:val="0074155B"/>
    <w:rsid w:val="00755F66"/>
    <w:rsid w:val="007718A8"/>
    <w:rsid w:val="00796604"/>
    <w:rsid w:val="007C061A"/>
    <w:rsid w:val="007E1830"/>
    <w:rsid w:val="0080283E"/>
    <w:rsid w:val="00802A4F"/>
    <w:rsid w:val="00813E62"/>
    <w:rsid w:val="00842EB5"/>
    <w:rsid w:val="00844543"/>
    <w:rsid w:val="0086112F"/>
    <w:rsid w:val="00863FF2"/>
    <w:rsid w:val="0087139A"/>
    <w:rsid w:val="00877073"/>
    <w:rsid w:val="00890B4E"/>
    <w:rsid w:val="008B1430"/>
    <w:rsid w:val="008B3DB6"/>
    <w:rsid w:val="008B758C"/>
    <w:rsid w:val="008D3579"/>
    <w:rsid w:val="008E6FE1"/>
    <w:rsid w:val="00912A26"/>
    <w:rsid w:val="009347D2"/>
    <w:rsid w:val="00941616"/>
    <w:rsid w:val="00942AD3"/>
    <w:rsid w:val="00951889"/>
    <w:rsid w:val="00953A5E"/>
    <w:rsid w:val="00955E02"/>
    <w:rsid w:val="009715DB"/>
    <w:rsid w:val="00994EED"/>
    <w:rsid w:val="00997268"/>
    <w:rsid w:val="009A0D50"/>
    <w:rsid w:val="009B58F7"/>
    <w:rsid w:val="009E7EC0"/>
    <w:rsid w:val="00A05E19"/>
    <w:rsid w:val="00A20848"/>
    <w:rsid w:val="00A42772"/>
    <w:rsid w:val="00A4644E"/>
    <w:rsid w:val="00A55479"/>
    <w:rsid w:val="00A57463"/>
    <w:rsid w:val="00A74537"/>
    <w:rsid w:val="00A7473A"/>
    <w:rsid w:val="00AB47D1"/>
    <w:rsid w:val="00AB6814"/>
    <w:rsid w:val="00AC7465"/>
    <w:rsid w:val="00AD6E2F"/>
    <w:rsid w:val="00AE0206"/>
    <w:rsid w:val="00AF771E"/>
    <w:rsid w:val="00B178D0"/>
    <w:rsid w:val="00B50806"/>
    <w:rsid w:val="00B514BD"/>
    <w:rsid w:val="00B5475B"/>
    <w:rsid w:val="00B61059"/>
    <w:rsid w:val="00B65AE9"/>
    <w:rsid w:val="00B8226D"/>
    <w:rsid w:val="00BA3B01"/>
    <w:rsid w:val="00BC07C0"/>
    <w:rsid w:val="00BE0713"/>
    <w:rsid w:val="00BE4EFA"/>
    <w:rsid w:val="00BF31DE"/>
    <w:rsid w:val="00C01214"/>
    <w:rsid w:val="00C10115"/>
    <w:rsid w:val="00C12B8F"/>
    <w:rsid w:val="00C21D7B"/>
    <w:rsid w:val="00C2365A"/>
    <w:rsid w:val="00C3131D"/>
    <w:rsid w:val="00C4544C"/>
    <w:rsid w:val="00C635B2"/>
    <w:rsid w:val="00C63C20"/>
    <w:rsid w:val="00C70780"/>
    <w:rsid w:val="00C712E3"/>
    <w:rsid w:val="00C8395C"/>
    <w:rsid w:val="00C8607E"/>
    <w:rsid w:val="00C90A73"/>
    <w:rsid w:val="00CB7331"/>
    <w:rsid w:val="00CC6AAC"/>
    <w:rsid w:val="00CE3342"/>
    <w:rsid w:val="00D012B1"/>
    <w:rsid w:val="00D24F26"/>
    <w:rsid w:val="00D3408C"/>
    <w:rsid w:val="00D81C7F"/>
    <w:rsid w:val="00D91D32"/>
    <w:rsid w:val="00D93505"/>
    <w:rsid w:val="00DB6919"/>
    <w:rsid w:val="00DD4F4D"/>
    <w:rsid w:val="00DE5D57"/>
    <w:rsid w:val="00DF4822"/>
    <w:rsid w:val="00E60E84"/>
    <w:rsid w:val="00E62819"/>
    <w:rsid w:val="00E726A5"/>
    <w:rsid w:val="00EC70BB"/>
    <w:rsid w:val="00EF7C72"/>
    <w:rsid w:val="00F00D7A"/>
    <w:rsid w:val="00F14FE6"/>
    <w:rsid w:val="00F43756"/>
    <w:rsid w:val="00F70075"/>
    <w:rsid w:val="00F72B0A"/>
    <w:rsid w:val="00F76422"/>
    <w:rsid w:val="00FD3411"/>
    <w:rsid w:val="00FD6FBA"/>
    <w:rsid w:val="01223294"/>
    <w:rsid w:val="013643FF"/>
    <w:rsid w:val="014E4C3B"/>
    <w:rsid w:val="0163EA0C"/>
    <w:rsid w:val="0167C6F3"/>
    <w:rsid w:val="01C63D6D"/>
    <w:rsid w:val="01E9DE95"/>
    <w:rsid w:val="01FB7202"/>
    <w:rsid w:val="025E29DB"/>
    <w:rsid w:val="027A4790"/>
    <w:rsid w:val="02D1CC86"/>
    <w:rsid w:val="0308FC44"/>
    <w:rsid w:val="030E3BE9"/>
    <w:rsid w:val="03421849"/>
    <w:rsid w:val="034D2484"/>
    <w:rsid w:val="038EC39B"/>
    <w:rsid w:val="04B24420"/>
    <w:rsid w:val="04E80195"/>
    <w:rsid w:val="058DF8AF"/>
    <w:rsid w:val="05FF6AF0"/>
    <w:rsid w:val="0645F0E7"/>
    <w:rsid w:val="06520969"/>
    <w:rsid w:val="07E42D5D"/>
    <w:rsid w:val="08200E61"/>
    <w:rsid w:val="089BA824"/>
    <w:rsid w:val="09671408"/>
    <w:rsid w:val="0A16A55D"/>
    <w:rsid w:val="0AB2921D"/>
    <w:rsid w:val="0ACDCF99"/>
    <w:rsid w:val="0AD20272"/>
    <w:rsid w:val="0AF67394"/>
    <w:rsid w:val="0AFCF9BC"/>
    <w:rsid w:val="0B5A32D9"/>
    <w:rsid w:val="0BE29078"/>
    <w:rsid w:val="0BF0D77B"/>
    <w:rsid w:val="0C7F8D28"/>
    <w:rsid w:val="0CA27C5D"/>
    <w:rsid w:val="0CE9F2DF"/>
    <w:rsid w:val="0D3E3160"/>
    <w:rsid w:val="0DB83A05"/>
    <w:rsid w:val="0DFD9ABF"/>
    <w:rsid w:val="0EBCDF69"/>
    <w:rsid w:val="0F1F3D20"/>
    <w:rsid w:val="0F47A0D1"/>
    <w:rsid w:val="0FC1D5E6"/>
    <w:rsid w:val="0FD27854"/>
    <w:rsid w:val="107DC68D"/>
    <w:rsid w:val="114D31A9"/>
    <w:rsid w:val="119FEF66"/>
    <w:rsid w:val="125D1DCE"/>
    <w:rsid w:val="13BD94D5"/>
    <w:rsid w:val="13D2DB88"/>
    <w:rsid w:val="14390B10"/>
    <w:rsid w:val="144F4EB7"/>
    <w:rsid w:val="14C66D0A"/>
    <w:rsid w:val="150A187B"/>
    <w:rsid w:val="15543A90"/>
    <w:rsid w:val="15945E69"/>
    <w:rsid w:val="15F87A50"/>
    <w:rsid w:val="1640D1BB"/>
    <w:rsid w:val="165B10F9"/>
    <w:rsid w:val="16AD9B88"/>
    <w:rsid w:val="172C6197"/>
    <w:rsid w:val="1733337D"/>
    <w:rsid w:val="18544884"/>
    <w:rsid w:val="186886B4"/>
    <w:rsid w:val="187582AD"/>
    <w:rsid w:val="18A5840C"/>
    <w:rsid w:val="18D4621F"/>
    <w:rsid w:val="19122ED6"/>
    <w:rsid w:val="1A28C295"/>
    <w:rsid w:val="1A517710"/>
    <w:rsid w:val="1A65C768"/>
    <w:rsid w:val="1AE186EE"/>
    <w:rsid w:val="1B7B3B63"/>
    <w:rsid w:val="1B88B41B"/>
    <w:rsid w:val="1C8E7EE6"/>
    <w:rsid w:val="1C9CFCCC"/>
    <w:rsid w:val="1D0912B6"/>
    <w:rsid w:val="1D89C466"/>
    <w:rsid w:val="1D91CF51"/>
    <w:rsid w:val="1DBCFA70"/>
    <w:rsid w:val="1DFFA162"/>
    <w:rsid w:val="1E3C78EE"/>
    <w:rsid w:val="1E565E3C"/>
    <w:rsid w:val="1E83E7BB"/>
    <w:rsid w:val="1FCD3C3A"/>
    <w:rsid w:val="20592F67"/>
    <w:rsid w:val="207C3FE5"/>
    <w:rsid w:val="20C3DA02"/>
    <w:rsid w:val="20DAD1F2"/>
    <w:rsid w:val="20F4580F"/>
    <w:rsid w:val="2149C5A4"/>
    <w:rsid w:val="2185FC81"/>
    <w:rsid w:val="21A7F2E5"/>
    <w:rsid w:val="21A999FA"/>
    <w:rsid w:val="2283ED17"/>
    <w:rsid w:val="22D532F7"/>
    <w:rsid w:val="2306A9B3"/>
    <w:rsid w:val="231E33ED"/>
    <w:rsid w:val="237C5003"/>
    <w:rsid w:val="238B8393"/>
    <w:rsid w:val="23BED01D"/>
    <w:rsid w:val="240AB4F3"/>
    <w:rsid w:val="2448399B"/>
    <w:rsid w:val="26244B92"/>
    <w:rsid w:val="26439936"/>
    <w:rsid w:val="26A3065D"/>
    <w:rsid w:val="26CACEE4"/>
    <w:rsid w:val="26CBE306"/>
    <w:rsid w:val="26F8361C"/>
    <w:rsid w:val="2763CB76"/>
    <w:rsid w:val="278EFAA9"/>
    <w:rsid w:val="278FCCD8"/>
    <w:rsid w:val="280247CB"/>
    <w:rsid w:val="28E47274"/>
    <w:rsid w:val="2919C173"/>
    <w:rsid w:val="29853F25"/>
    <w:rsid w:val="299EA763"/>
    <w:rsid w:val="29A13A29"/>
    <w:rsid w:val="29F411EE"/>
    <w:rsid w:val="2A1B0C8E"/>
    <w:rsid w:val="2B5085CA"/>
    <w:rsid w:val="2B55F062"/>
    <w:rsid w:val="2C60E65B"/>
    <w:rsid w:val="2C6B2948"/>
    <w:rsid w:val="2CC5150A"/>
    <w:rsid w:val="2D0E989A"/>
    <w:rsid w:val="2D15770B"/>
    <w:rsid w:val="2D6EAB1F"/>
    <w:rsid w:val="2E1C0116"/>
    <w:rsid w:val="2E1E2C7A"/>
    <w:rsid w:val="2E60584A"/>
    <w:rsid w:val="2E63D873"/>
    <w:rsid w:val="2E843F73"/>
    <w:rsid w:val="2EB09D41"/>
    <w:rsid w:val="2F557F13"/>
    <w:rsid w:val="3020895C"/>
    <w:rsid w:val="304A2CAC"/>
    <w:rsid w:val="3072824E"/>
    <w:rsid w:val="31AEDA92"/>
    <w:rsid w:val="31B2768F"/>
    <w:rsid w:val="32704312"/>
    <w:rsid w:val="32CB0B6D"/>
    <w:rsid w:val="336A937F"/>
    <w:rsid w:val="33E9C1BB"/>
    <w:rsid w:val="346C7447"/>
    <w:rsid w:val="34AE835C"/>
    <w:rsid w:val="359A2FB3"/>
    <w:rsid w:val="35F73F53"/>
    <w:rsid w:val="36D21AB2"/>
    <w:rsid w:val="3716E67A"/>
    <w:rsid w:val="37328D51"/>
    <w:rsid w:val="379612AB"/>
    <w:rsid w:val="380B1F66"/>
    <w:rsid w:val="38CEF5F4"/>
    <w:rsid w:val="3959FE2C"/>
    <w:rsid w:val="39A0A151"/>
    <w:rsid w:val="39A58991"/>
    <w:rsid w:val="39CBAFDE"/>
    <w:rsid w:val="3A462DFA"/>
    <w:rsid w:val="3AE62A6E"/>
    <w:rsid w:val="3B0503AB"/>
    <w:rsid w:val="3B57C689"/>
    <w:rsid w:val="3BC084C3"/>
    <w:rsid w:val="3BFC78D0"/>
    <w:rsid w:val="3C41004E"/>
    <w:rsid w:val="3C520473"/>
    <w:rsid w:val="3C927E16"/>
    <w:rsid w:val="3CDF9DB7"/>
    <w:rsid w:val="3D48E61F"/>
    <w:rsid w:val="3DC76D89"/>
    <w:rsid w:val="3DEFC6B1"/>
    <w:rsid w:val="3E161F59"/>
    <w:rsid w:val="3E16DDCE"/>
    <w:rsid w:val="3E51B991"/>
    <w:rsid w:val="3E6DC862"/>
    <w:rsid w:val="3EBFF397"/>
    <w:rsid w:val="3EDEE79F"/>
    <w:rsid w:val="3EF2691D"/>
    <w:rsid w:val="3F017EAA"/>
    <w:rsid w:val="3F052931"/>
    <w:rsid w:val="3F964D81"/>
    <w:rsid w:val="3FBBE012"/>
    <w:rsid w:val="40B73ECA"/>
    <w:rsid w:val="4241652A"/>
    <w:rsid w:val="4269163E"/>
    <w:rsid w:val="427EDAEE"/>
    <w:rsid w:val="42AA26A8"/>
    <w:rsid w:val="42C4C58C"/>
    <w:rsid w:val="42F897AD"/>
    <w:rsid w:val="434DD9B9"/>
    <w:rsid w:val="43A0BECC"/>
    <w:rsid w:val="43C95BBA"/>
    <w:rsid w:val="453D2557"/>
    <w:rsid w:val="462EFC0A"/>
    <w:rsid w:val="479BE074"/>
    <w:rsid w:val="485DF2B3"/>
    <w:rsid w:val="495214C0"/>
    <w:rsid w:val="49B9BC07"/>
    <w:rsid w:val="49C8830F"/>
    <w:rsid w:val="49D8B12A"/>
    <w:rsid w:val="4A509CF9"/>
    <w:rsid w:val="4A960F37"/>
    <w:rsid w:val="4B4D57E6"/>
    <w:rsid w:val="4B652141"/>
    <w:rsid w:val="4BB5BA7C"/>
    <w:rsid w:val="4BBCA4D5"/>
    <w:rsid w:val="4C2D5552"/>
    <w:rsid w:val="4C5DAB86"/>
    <w:rsid w:val="4C81D338"/>
    <w:rsid w:val="4CA038F2"/>
    <w:rsid w:val="4CE4E9B1"/>
    <w:rsid w:val="4D07E1EE"/>
    <w:rsid w:val="4D100D03"/>
    <w:rsid w:val="4D94F5C4"/>
    <w:rsid w:val="4E454EED"/>
    <w:rsid w:val="4E79D771"/>
    <w:rsid w:val="4F2FFF0A"/>
    <w:rsid w:val="4FE1E519"/>
    <w:rsid w:val="5056F42C"/>
    <w:rsid w:val="50600D1D"/>
    <w:rsid w:val="50DB7A12"/>
    <w:rsid w:val="516FCED5"/>
    <w:rsid w:val="517ED493"/>
    <w:rsid w:val="518991AD"/>
    <w:rsid w:val="51CA5C60"/>
    <w:rsid w:val="52451F10"/>
    <w:rsid w:val="52E396C0"/>
    <w:rsid w:val="5362DBD7"/>
    <w:rsid w:val="537BB55B"/>
    <w:rsid w:val="53E58148"/>
    <w:rsid w:val="53FDB5A7"/>
    <w:rsid w:val="54A85A8E"/>
    <w:rsid w:val="551C7D3A"/>
    <w:rsid w:val="57276224"/>
    <w:rsid w:val="5734C29B"/>
    <w:rsid w:val="574A94FB"/>
    <w:rsid w:val="5770A062"/>
    <w:rsid w:val="583AF4E6"/>
    <w:rsid w:val="5887F5FB"/>
    <w:rsid w:val="596CF718"/>
    <w:rsid w:val="59956E70"/>
    <w:rsid w:val="59BD907D"/>
    <w:rsid w:val="5A46EAB5"/>
    <w:rsid w:val="5A532E53"/>
    <w:rsid w:val="5A8C0FC6"/>
    <w:rsid w:val="5B4E7A9A"/>
    <w:rsid w:val="5CFBB0A8"/>
    <w:rsid w:val="5D0050D7"/>
    <w:rsid w:val="5D459163"/>
    <w:rsid w:val="5EBBA6C2"/>
    <w:rsid w:val="5F7356EF"/>
    <w:rsid w:val="5FC0BE5E"/>
    <w:rsid w:val="601E653E"/>
    <w:rsid w:val="601FA0D7"/>
    <w:rsid w:val="6036B7CE"/>
    <w:rsid w:val="607E4A24"/>
    <w:rsid w:val="607F9EDF"/>
    <w:rsid w:val="618B8D1D"/>
    <w:rsid w:val="618DD4D9"/>
    <w:rsid w:val="62B3A3E4"/>
    <w:rsid w:val="62F36768"/>
    <w:rsid w:val="63FB8CCC"/>
    <w:rsid w:val="6419FB83"/>
    <w:rsid w:val="6428EA31"/>
    <w:rsid w:val="65079FBE"/>
    <w:rsid w:val="65FCF647"/>
    <w:rsid w:val="6631F2AE"/>
    <w:rsid w:val="664C74F3"/>
    <w:rsid w:val="6659FC5B"/>
    <w:rsid w:val="66D08679"/>
    <w:rsid w:val="66E8A379"/>
    <w:rsid w:val="679759CF"/>
    <w:rsid w:val="67C9F891"/>
    <w:rsid w:val="680D36BF"/>
    <w:rsid w:val="68186F7C"/>
    <w:rsid w:val="68406E6E"/>
    <w:rsid w:val="68446D19"/>
    <w:rsid w:val="68F74669"/>
    <w:rsid w:val="695BB065"/>
    <w:rsid w:val="697902B4"/>
    <w:rsid w:val="69DBE5F0"/>
    <w:rsid w:val="69DE6C42"/>
    <w:rsid w:val="6A839B4A"/>
    <w:rsid w:val="6AB6C9F9"/>
    <w:rsid w:val="6ACE8F75"/>
    <w:rsid w:val="6BD23518"/>
    <w:rsid w:val="6C05E85E"/>
    <w:rsid w:val="6C62A342"/>
    <w:rsid w:val="6C854237"/>
    <w:rsid w:val="6C861E97"/>
    <w:rsid w:val="6DCFC640"/>
    <w:rsid w:val="6EC89CCE"/>
    <w:rsid w:val="6F38DB9A"/>
    <w:rsid w:val="6F75F5C9"/>
    <w:rsid w:val="6F917DBA"/>
    <w:rsid w:val="7015012E"/>
    <w:rsid w:val="7040E804"/>
    <w:rsid w:val="71927D99"/>
    <w:rsid w:val="71E2A0AB"/>
    <w:rsid w:val="71F40830"/>
    <w:rsid w:val="7347088A"/>
    <w:rsid w:val="739CE60C"/>
    <w:rsid w:val="7444079E"/>
    <w:rsid w:val="745CA1AF"/>
    <w:rsid w:val="74CC67B4"/>
    <w:rsid w:val="75536A27"/>
    <w:rsid w:val="759F9512"/>
    <w:rsid w:val="75DF8C06"/>
    <w:rsid w:val="76459EA3"/>
    <w:rsid w:val="76AA2BEF"/>
    <w:rsid w:val="777BB7DE"/>
    <w:rsid w:val="781B341D"/>
    <w:rsid w:val="781E21FE"/>
    <w:rsid w:val="783ED9EF"/>
    <w:rsid w:val="78DDFBEC"/>
    <w:rsid w:val="79BED2BA"/>
    <w:rsid w:val="7A027071"/>
    <w:rsid w:val="7A586700"/>
    <w:rsid w:val="7AE854D3"/>
    <w:rsid w:val="7B09B61E"/>
    <w:rsid w:val="7B72DBD7"/>
    <w:rsid w:val="7BB1C195"/>
    <w:rsid w:val="7BBDF1DA"/>
    <w:rsid w:val="7BD6F840"/>
    <w:rsid w:val="7C2E5FD0"/>
    <w:rsid w:val="7D436CE3"/>
    <w:rsid w:val="7E8A2A72"/>
    <w:rsid w:val="7F5C0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BB26"/>
  <w15:chartTrackingRefBased/>
  <w15:docId w15:val="{FD9AD910-293C-AD47-8769-9D5BF3FA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13"/>
    <w:rPr>
      <w:rFonts w:eastAsiaTheme="majorEastAsia" w:cstheme="majorBidi"/>
      <w:color w:val="272727" w:themeColor="text1" w:themeTint="D8"/>
    </w:rPr>
  </w:style>
  <w:style w:type="paragraph" w:styleId="Title">
    <w:name w:val="Title"/>
    <w:basedOn w:val="Normal"/>
    <w:next w:val="Normal"/>
    <w:link w:val="TitleChar"/>
    <w:uiPriority w:val="10"/>
    <w:qFormat/>
    <w:rsid w:val="00BE0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13"/>
    <w:pPr>
      <w:spacing w:before="160"/>
      <w:jc w:val="center"/>
    </w:pPr>
    <w:rPr>
      <w:i/>
      <w:iCs/>
      <w:color w:val="404040" w:themeColor="text1" w:themeTint="BF"/>
    </w:rPr>
  </w:style>
  <w:style w:type="character" w:customStyle="1" w:styleId="QuoteChar">
    <w:name w:val="Quote Char"/>
    <w:basedOn w:val="DefaultParagraphFont"/>
    <w:link w:val="Quote"/>
    <w:uiPriority w:val="29"/>
    <w:rsid w:val="00BE0713"/>
    <w:rPr>
      <w:i/>
      <w:iCs/>
      <w:color w:val="404040" w:themeColor="text1" w:themeTint="BF"/>
    </w:rPr>
  </w:style>
  <w:style w:type="paragraph" w:styleId="ListParagraph">
    <w:name w:val="List Paragraph"/>
    <w:basedOn w:val="Normal"/>
    <w:uiPriority w:val="34"/>
    <w:qFormat/>
    <w:rsid w:val="00BE0713"/>
    <w:pPr>
      <w:ind w:left="720"/>
      <w:contextualSpacing/>
    </w:pPr>
  </w:style>
  <w:style w:type="character" w:styleId="IntenseEmphasis">
    <w:name w:val="Intense Emphasis"/>
    <w:basedOn w:val="DefaultParagraphFont"/>
    <w:uiPriority w:val="21"/>
    <w:qFormat/>
    <w:rsid w:val="00BE0713"/>
    <w:rPr>
      <w:i/>
      <w:iCs/>
      <w:color w:val="0F4761" w:themeColor="accent1" w:themeShade="BF"/>
    </w:rPr>
  </w:style>
  <w:style w:type="paragraph" w:styleId="IntenseQuote">
    <w:name w:val="Intense Quote"/>
    <w:basedOn w:val="Normal"/>
    <w:next w:val="Normal"/>
    <w:link w:val="IntenseQuoteChar"/>
    <w:uiPriority w:val="30"/>
    <w:qFormat/>
    <w:rsid w:val="00BE0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713"/>
    <w:rPr>
      <w:i/>
      <w:iCs/>
      <w:color w:val="0F4761" w:themeColor="accent1" w:themeShade="BF"/>
    </w:rPr>
  </w:style>
  <w:style w:type="character" w:styleId="IntenseReference">
    <w:name w:val="Intense Reference"/>
    <w:basedOn w:val="DefaultParagraphFont"/>
    <w:uiPriority w:val="32"/>
    <w:qFormat/>
    <w:rsid w:val="00BE0713"/>
    <w:rPr>
      <w:b/>
      <w:bCs/>
      <w:smallCaps/>
      <w:color w:val="0F4761" w:themeColor="accent1" w:themeShade="BF"/>
      <w:spacing w:val="5"/>
    </w:rPr>
  </w:style>
  <w:style w:type="character" w:styleId="Hyperlink">
    <w:name w:val="Hyperlink"/>
    <w:basedOn w:val="DefaultParagraphFont"/>
    <w:uiPriority w:val="99"/>
    <w:unhideWhenUsed/>
    <w:rsid w:val="187582AD"/>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310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310F3"/>
  </w:style>
  <w:style w:type="character" w:customStyle="1" w:styleId="eop">
    <w:name w:val="eop"/>
    <w:basedOn w:val="DefaultParagraphFont"/>
    <w:rsid w:val="004310F3"/>
  </w:style>
  <w:style w:type="character" w:styleId="UnresolvedMention">
    <w:name w:val="Unresolved Mention"/>
    <w:basedOn w:val="DefaultParagraphFont"/>
    <w:uiPriority w:val="99"/>
    <w:semiHidden/>
    <w:unhideWhenUsed/>
    <w:rsid w:val="001227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CC8"/>
    <w:rPr>
      <w:b/>
      <w:bCs/>
    </w:rPr>
  </w:style>
  <w:style w:type="character" w:customStyle="1" w:styleId="CommentSubjectChar">
    <w:name w:val="Comment Subject Char"/>
    <w:basedOn w:val="CommentTextChar"/>
    <w:link w:val="CommentSubject"/>
    <w:uiPriority w:val="99"/>
    <w:semiHidden/>
    <w:rsid w:val="00165CC8"/>
    <w:rPr>
      <w:b/>
      <w:bCs/>
      <w:sz w:val="20"/>
      <w:szCs w:val="20"/>
    </w:rPr>
  </w:style>
  <w:style w:type="paragraph" w:styleId="NormalWeb">
    <w:name w:val="Normal (Web)"/>
    <w:basedOn w:val="Normal"/>
    <w:uiPriority w:val="99"/>
    <w:semiHidden/>
    <w:unhideWhenUsed/>
    <w:rsid w:val="00635B86"/>
    <w:rPr>
      <w:rFonts w:ascii="Times New Roman" w:hAnsi="Times New Roman" w:cs="Times New Roman"/>
    </w:rPr>
  </w:style>
  <w:style w:type="paragraph" w:styleId="Revision">
    <w:name w:val="Revision"/>
    <w:hidden/>
    <w:uiPriority w:val="99"/>
    <w:semiHidden/>
    <w:rsid w:val="00842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msu.edu/explore?id=31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31A45A0504B4AA54B2F0A630AC2AC" ma:contentTypeVersion="14" ma:contentTypeDescription="Create a new document." ma:contentTypeScope="" ma:versionID="d1c44dd8034ce941126c7c6de4763e18">
  <xsd:schema xmlns:xsd="http://www.w3.org/2001/XMLSchema" xmlns:xs="http://www.w3.org/2001/XMLSchema" xmlns:p="http://schemas.microsoft.com/office/2006/metadata/properties" xmlns:ns2="841717f8-0321-4e2b-8d3a-d7e3aba61816" xmlns:ns3="d8519990-0174-45c7-a7a3-4cf5bad3aafb" targetNamespace="http://schemas.microsoft.com/office/2006/metadata/properties" ma:root="true" ma:fieldsID="d3c0c7f28e72160b2e6db24b19769a11" ns2:_="" ns3:_="">
    <xsd:import namespace="841717f8-0321-4e2b-8d3a-d7e3aba61816"/>
    <xsd:import namespace="d8519990-0174-45c7-a7a3-4cf5bad3aa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717f8-0321-4e2b-8d3a-d7e3aba61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19990-0174-45c7-a7a3-4cf5bad3aa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f23c6-9b03-47ef-a3b3-da9ecd1c5cec}" ma:internalName="TaxCatchAll" ma:showField="CatchAllData" ma:web="d8519990-0174-45c7-a7a3-4cf5bad3aaf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519990-0174-45c7-a7a3-4cf5bad3aafb" xsi:nil="true"/>
    <lcf76f155ced4ddcb4097134ff3c332f xmlns="841717f8-0321-4e2b-8d3a-d7e3aba61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1BE92-DEAF-4D5B-A245-DA63002A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717f8-0321-4e2b-8d3a-d7e3aba61816"/>
    <ds:schemaRef ds:uri="d8519990-0174-45c7-a7a3-4cf5bad3a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9938A-6C82-4278-AF84-BECA81ED4AC9}">
  <ds:schemaRefs>
    <ds:schemaRef ds:uri="http://schemas.microsoft.com/sharepoint/v3/contenttype/forms"/>
  </ds:schemaRefs>
</ds:datastoreItem>
</file>

<file path=customXml/itemProps3.xml><?xml version="1.0" encoding="utf-8"?>
<ds:datastoreItem xmlns:ds="http://schemas.openxmlformats.org/officeDocument/2006/customXml" ds:itemID="{0F789029-EA0B-475E-B7D7-3089335F584E}">
  <ds:schemaRefs>
    <ds:schemaRef ds:uri="http://schemas.microsoft.com/office/infopath/2007/PartnerControls"/>
    <ds:schemaRef ds:uri="http://purl.org/dc/dcmitype/"/>
    <ds:schemaRef ds:uri="http://schemas.microsoft.com/office/2006/metadata/properties"/>
    <ds:schemaRef ds:uri="d8519990-0174-45c7-a7a3-4cf5bad3aafb"/>
    <ds:schemaRef ds:uri="http://purl.org/dc/elements/1.1/"/>
    <ds:schemaRef ds:uri="http://www.w3.org/XML/1998/namespace"/>
    <ds:schemaRef ds:uri="http://schemas.microsoft.com/office/2006/documentManagement/types"/>
    <ds:schemaRef ds:uri="http://schemas.openxmlformats.org/package/2006/metadata/core-properties"/>
    <ds:schemaRef ds:uri="841717f8-0321-4e2b-8d3a-d7e3aba61816"/>
    <ds:schemaRef ds:uri="http://purl.org/dc/te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Bree</dc:creator>
  <cp:keywords/>
  <dc:description/>
  <cp:lastModifiedBy>Holtz, Bree</cp:lastModifiedBy>
  <cp:revision>2</cp:revision>
  <dcterms:created xsi:type="dcterms:W3CDTF">2026-04-13T17:04:00Z</dcterms:created>
  <dcterms:modified xsi:type="dcterms:W3CDTF">2026-04-13T17:04:00Z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0x010100E7B31A45A0504B4AA54B2F0A630AC2AC</vt:lpwstr>
  </property>
  <property fmtid="{D5CDD505-2E9C-101B-9397-08002B2CF9AE}" pid="3" name="MediaServiceImageTags">
    <vt:lpwstr/>
  </property>
</Properties>
</file>