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286A7" w14:textId="77777777" w:rsidR="00981EB7" w:rsidRPr="003717E5" w:rsidRDefault="00E5040A">
      <w:pPr>
        <w:keepNext/>
        <w:spacing w:after="60" w:line="240" w:lineRule="auto"/>
        <w:rPr>
          <w:sz w:val="18"/>
          <w:szCs w:val="20"/>
        </w:rPr>
      </w:pPr>
      <w:r w:rsidRPr="003717E5">
        <w:rPr>
          <w:b/>
          <w:color w:val="0B3B2E"/>
          <w:sz w:val="32"/>
          <w:szCs w:val="20"/>
        </w:rPr>
        <w:t>Faculty Governance for General Education</w:t>
      </w:r>
    </w:p>
    <w:p w14:paraId="3674B77E" w14:textId="77777777" w:rsidR="00981EB7" w:rsidRPr="003717E5" w:rsidRDefault="00E5040A">
      <w:pPr>
        <w:keepNext/>
        <w:spacing w:after="180"/>
        <w:rPr>
          <w:sz w:val="20"/>
          <w:szCs w:val="21"/>
        </w:rPr>
      </w:pPr>
      <w:r w:rsidRPr="003717E5">
        <w:rPr>
          <w:color w:val="5B6366"/>
          <w:sz w:val="22"/>
          <w:szCs w:val="21"/>
        </w:rPr>
        <w:t>Request to initiate development of a university-level faculty governance structure</w:t>
      </w:r>
    </w:p>
    <w:p w14:paraId="36B03C28" w14:textId="77777777" w:rsidR="00981EB7" w:rsidRDefault="00E5040A">
      <w:pPr>
        <w:spacing w:after="30" w:line="240" w:lineRule="auto"/>
      </w:pPr>
      <w:r>
        <w:rPr>
          <w:b/>
          <w:color w:val="0B3B2E"/>
          <w:sz w:val="18"/>
        </w:rPr>
        <w:t xml:space="preserve">To:  </w:t>
      </w:r>
      <w:r w:rsidR="00834970" w:rsidRPr="00834970">
        <w:rPr>
          <w:bCs/>
          <w:color w:val="000000" w:themeColor="text1"/>
          <w:sz w:val="18"/>
        </w:rPr>
        <w:t>Faculty Senate, Steering Committee,</w:t>
      </w:r>
      <w:r w:rsidR="00834970" w:rsidRPr="00834970">
        <w:rPr>
          <w:b/>
          <w:color w:val="000000" w:themeColor="text1"/>
          <w:sz w:val="18"/>
        </w:rPr>
        <w:t xml:space="preserve"> </w:t>
      </w:r>
      <w:r>
        <w:rPr>
          <w:sz w:val="18"/>
        </w:rPr>
        <w:t>University Committee on Academic Governance (UCAG)</w:t>
      </w:r>
    </w:p>
    <w:p w14:paraId="2200AD24" w14:textId="3E0E3E45" w:rsidR="00981EB7" w:rsidRDefault="00E5040A">
      <w:pPr>
        <w:spacing w:after="30" w:line="240" w:lineRule="auto"/>
      </w:pPr>
      <w:r>
        <w:rPr>
          <w:b/>
          <w:color w:val="0B3B2E"/>
          <w:sz w:val="18"/>
        </w:rPr>
        <w:t xml:space="preserve">From:  </w:t>
      </w:r>
      <w:r>
        <w:rPr>
          <w:sz w:val="18"/>
        </w:rPr>
        <w:t>Stacia Moroski-Rigney, Assistant Provost, AACC</w:t>
      </w:r>
      <w:r w:rsidR="00B91EE3">
        <w:rPr>
          <w:sz w:val="18"/>
        </w:rPr>
        <w:t>; Modernization of General Education Project Lead</w:t>
      </w:r>
    </w:p>
    <w:p w14:paraId="0EFEF30E" w14:textId="2FA19DF2" w:rsidR="00981EB7" w:rsidRDefault="00E5040A">
      <w:pPr>
        <w:spacing w:after="30" w:line="240" w:lineRule="auto"/>
      </w:pPr>
      <w:r>
        <w:rPr>
          <w:b/>
          <w:color w:val="0B3B2E"/>
          <w:sz w:val="18"/>
        </w:rPr>
        <w:t xml:space="preserve">Date:  </w:t>
      </w:r>
      <w:r w:rsidR="003717E5">
        <w:rPr>
          <w:sz w:val="18"/>
        </w:rPr>
        <w:t>September</w:t>
      </w:r>
      <w:r>
        <w:rPr>
          <w:sz w:val="18"/>
        </w:rPr>
        <w:t xml:space="preserve"> 2026</w:t>
      </w:r>
    </w:p>
    <w:p w14:paraId="65BF23AB" w14:textId="77777777" w:rsidR="00981EB7" w:rsidRDefault="00981EB7">
      <w:pPr>
        <w:spacing w:after="0"/>
      </w:pPr>
    </w:p>
    <w:tbl>
      <w:tblPr>
        <w:tblW w:w="9360" w:type="dxa"/>
        <w:tblLayout w:type="fixed"/>
        <w:tblLook w:val="04A0" w:firstRow="1" w:lastRow="0" w:firstColumn="1" w:lastColumn="0" w:noHBand="0" w:noVBand="1"/>
      </w:tblPr>
      <w:tblGrid>
        <w:gridCol w:w="9360"/>
      </w:tblGrid>
      <w:tr w:rsidR="00981EB7" w14:paraId="4FDF276E" w14:textId="77777777">
        <w:trPr>
          <w:cantSplit/>
          <w:tblHeader/>
        </w:trPr>
        <w:tc>
          <w:tcPr>
            <w:tcW w:w="9360" w:type="dxa"/>
            <w:shd w:val="clear" w:color="auto" w:fill="E8F0ED"/>
            <w:tcMar>
              <w:top w:w="100" w:type="dxa"/>
              <w:left w:w="120" w:type="dxa"/>
              <w:bottom w:w="100" w:type="dxa"/>
              <w:right w:w="120" w:type="dxa"/>
            </w:tcMar>
            <w:vAlign w:val="center"/>
          </w:tcPr>
          <w:p w14:paraId="380A537C" w14:textId="77777777" w:rsidR="00981EB7" w:rsidRDefault="00E5040A">
            <w:pPr>
              <w:spacing w:after="0"/>
              <w:rPr>
                <w:b/>
              </w:rPr>
            </w:pPr>
            <w:r>
              <w:rPr>
                <w:b/>
                <w:color w:val="0B3B2E"/>
                <w:sz w:val="20"/>
              </w:rPr>
              <w:t>REQUEST</w:t>
            </w:r>
            <w:r w:rsidR="00427395">
              <w:rPr>
                <w:b/>
                <w:color w:val="0B3B2E"/>
                <w:sz w:val="20"/>
              </w:rPr>
              <w:t>:</w:t>
            </w:r>
            <w:r>
              <w:rPr>
                <w:b/>
                <w:color w:val="0B3B2E"/>
                <w:sz w:val="20"/>
              </w:rPr>
              <w:t xml:space="preserve"> </w:t>
            </w:r>
            <w:r>
              <w:rPr>
                <w:b/>
              </w:rPr>
              <w:t>Initiate the academic governance process to develop a separate university-level faculty committee for the continuing oversight and stewardship of General Education.</w:t>
            </w:r>
          </w:p>
          <w:p w14:paraId="11AF19AC" w14:textId="77777777" w:rsidR="003717E5" w:rsidRPr="003717E5" w:rsidRDefault="003717E5">
            <w:pPr>
              <w:spacing w:after="0"/>
              <w:rPr>
                <w:b/>
                <w:sz w:val="10"/>
                <w:szCs w:val="11"/>
              </w:rPr>
            </w:pPr>
          </w:p>
          <w:p w14:paraId="70C8512D" w14:textId="3A0609B8" w:rsidR="003717E5" w:rsidRDefault="003717E5">
            <w:pPr>
              <w:spacing w:after="0"/>
            </w:pPr>
            <w:r>
              <w:rPr>
                <w:bCs/>
                <w:color w:val="18453B"/>
                <w:sz w:val="19"/>
              </w:rPr>
              <w:t>For</w:t>
            </w:r>
            <w:r>
              <w:rPr>
                <w:b/>
                <w:color w:val="18453B"/>
                <w:sz w:val="19"/>
              </w:rPr>
              <w:t xml:space="preserve"> </w:t>
            </w:r>
            <w:r>
              <w:rPr>
                <w:color w:val="303030"/>
                <w:sz w:val="19"/>
              </w:rPr>
              <w:t>UCAG to initiate development of a separate university-level General Education committee in the 2026-27 AY. Governance should determine its membership, reporting relationships, and procedures, while preserving separate standing status and clear functional boundaries.</w:t>
            </w:r>
          </w:p>
        </w:tc>
      </w:tr>
    </w:tbl>
    <w:p w14:paraId="3EF87902" w14:textId="77777777" w:rsidR="00981EB7" w:rsidRPr="00822BF8" w:rsidRDefault="00981EB7">
      <w:pPr>
        <w:spacing w:after="0"/>
        <w:rPr>
          <w:sz w:val="6"/>
          <w:szCs w:val="8"/>
        </w:rPr>
      </w:pPr>
    </w:p>
    <w:p w14:paraId="5D471798" w14:textId="77777777" w:rsidR="00981EB7" w:rsidRDefault="00E5040A">
      <w:pPr>
        <w:pStyle w:val="Heading1"/>
        <w:spacing w:before="160" w:after="80"/>
      </w:pPr>
      <w:r>
        <w:rPr>
          <w:rFonts w:ascii="Arial" w:hAnsi="Arial"/>
        </w:rPr>
        <w:t>Why action is necessary</w:t>
      </w:r>
    </w:p>
    <w:p w14:paraId="0B610235" w14:textId="5B33E7E9" w:rsidR="00981EB7" w:rsidRPr="005D4D03" w:rsidRDefault="00E5040A">
      <w:pPr>
        <w:spacing w:after="100" w:line="254" w:lineRule="auto"/>
        <w:rPr>
          <w:sz w:val="20"/>
          <w:szCs w:val="20"/>
        </w:rPr>
      </w:pPr>
      <w:r w:rsidRPr="005D4D03">
        <w:rPr>
          <w:color w:val="303030"/>
          <w:sz w:val="20"/>
          <w:szCs w:val="20"/>
        </w:rPr>
        <w:t xml:space="preserve">General Education is one of MSU's largest shared academic programs. It serves nearly every undergraduate student, spans colleges and academic units, and requires continuing faculty judgment about standards, curriculum, policy, assessment, transfer, and improvement. Those responsibilities exist under the current program and under the proposed Spartan Impact Framework. They cannot be treated as a temporary implementation project or made contingent on the outcome of a particular </w:t>
      </w:r>
      <w:r w:rsidR="005B0F1D">
        <w:rPr>
          <w:color w:val="303030"/>
          <w:sz w:val="20"/>
          <w:szCs w:val="20"/>
        </w:rPr>
        <w:t>vote</w:t>
      </w:r>
      <w:r w:rsidRPr="005D4D03">
        <w:rPr>
          <w:color w:val="303030"/>
          <w:sz w:val="20"/>
          <w:szCs w:val="20"/>
        </w:rPr>
        <w:t>.</w:t>
      </w:r>
    </w:p>
    <w:p w14:paraId="239E5285" w14:textId="3E68E9D8" w:rsidR="00981EB7" w:rsidRPr="005D4D03" w:rsidRDefault="00E5040A">
      <w:pPr>
        <w:spacing w:after="120"/>
        <w:rPr>
          <w:sz w:val="20"/>
          <w:szCs w:val="20"/>
        </w:rPr>
      </w:pPr>
      <w:r w:rsidRPr="005D4D03">
        <w:rPr>
          <w:sz w:val="20"/>
          <w:szCs w:val="20"/>
        </w:rPr>
        <w:t>UCUE's broad delegated authority can reasonably encompass General Education. MSU has not, however, established a routine mechanism through which General Education is presented to UCUE as a coherent program requiring continuing stewardship. Matters have generally reached governance as discrete curricular actions. MSU lacks an explicit, durable process for program-level faculty oversight.</w:t>
      </w:r>
    </w:p>
    <w:tbl>
      <w:tblPr>
        <w:tblW w:w="9360" w:type="dxa"/>
        <w:tblLayout w:type="fixed"/>
        <w:tblLook w:val="04A0" w:firstRow="1" w:lastRow="0" w:firstColumn="1" w:lastColumn="0" w:noHBand="0" w:noVBand="1"/>
      </w:tblPr>
      <w:tblGrid>
        <w:gridCol w:w="3120"/>
        <w:gridCol w:w="3120"/>
        <w:gridCol w:w="3120"/>
      </w:tblGrid>
      <w:tr w:rsidR="00981EB7" w14:paraId="2C66597F" w14:textId="77777777">
        <w:trPr>
          <w:cantSplit/>
          <w:tblHeader/>
        </w:trPr>
        <w:tc>
          <w:tcPr>
            <w:tcW w:w="3120" w:type="dxa"/>
            <w:shd w:val="clear" w:color="auto" w:fill="18453B"/>
            <w:tcMar>
              <w:top w:w="100" w:type="dxa"/>
              <w:left w:w="120" w:type="dxa"/>
              <w:bottom w:w="100" w:type="dxa"/>
              <w:right w:w="120" w:type="dxa"/>
            </w:tcMar>
            <w:vAlign w:val="center"/>
          </w:tcPr>
          <w:p w14:paraId="0BD072B0" w14:textId="77777777" w:rsidR="00981EB7" w:rsidRDefault="00E5040A">
            <w:pPr>
              <w:spacing w:after="20" w:line="240" w:lineRule="auto"/>
              <w:jc w:val="center"/>
            </w:pPr>
            <w:r>
              <w:rPr>
                <w:b/>
                <w:color w:val="FFFFFF"/>
                <w:sz w:val="36"/>
              </w:rPr>
              <w:t>13</w:t>
            </w:r>
          </w:p>
          <w:p w14:paraId="56CC9085" w14:textId="0FE92F6A" w:rsidR="00981EB7" w:rsidRDefault="00E5040A">
            <w:pPr>
              <w:spacing w:after="0" w:line="240" w:lineRule="auto"/>
              <w:jc w:val="center"/>
            </w:pPr>
            <w:r>
              <w:rPr>
                <w:b/>
                <w:color w:val="FFFFFF"/>
                <w:sz w:val="16"/>
              </w:rPr>
              <w:t>scheduled UCUE</w:t>
            </w:r>
            <w:r w:rsidR="006700A2">
              <w:rPr>
                <w:b/>
                <w:color w:val="FFFFFF"/>
                <w:sz w:val="16"/>
              </w:rPr>
              <w:t xml:space="preserve"> annual </w:t>
            </w:r>
            <w:r>
              <w:rPr>
                <w:b/>
                <w:color w:val="FFFFFF"/>
                <w:sz w:val="16"/>
              </w:rPr>
              <w:t>meetings</w:t>
            </w:r>
          </w:p>
        </w:tc>
        <w:tc>
          <w:tcPr>
            <w:tcW w:w="3120" w:type="dxa"/>
            <w:shd w:val="clear" w:color="auto" w:fill="F4F8F6"/>
            <w:tcMar>
              <w:top w:w="100" w:type="dxa"/>
              <w:left w:w="120" w:type="dxa"/>
              <w:bottom w:w="100" w:type="dxa"/>
              <w:right w:w="120" w:type="dxa"/>
            </w:tcMar>
            <w:vAlign w:val="center"/>
          </w:tcPr>
          <w:p w14:paraId="00D11C35" w14:textId="77777777" w:rsidR="00981EB7" w:rsidRDefault="00E5040A">
            <w:pPr>
              <w:spacing w:after="20" w:line="240" w:lineRule="auto"/>
              <w:jc w:val="center"/>
            </w:pPr>
            <w:r>
              <w:rPr>
                <w:b/>
                <w:color w:val="0B3B2E"/>
                <w:sz w:val="36"/>
              </w:rPr>
              <w:t>92</w:t>
            </w:r>
          </w:p>
          <w:p w14:paraId="7133C138" w14:textId="535735F6" w:rsidR="00981EB7" w:rsidRDefault="005B0F1D">
            <w:pPr>
              <w:spacing w:after="0" w:line="240" w:lineRule="auto"/>
              <w:jc w:val="center"/>
            </w:pPr>
            <w:r>
              <w:rPr>
                <w:b/>
                <w:color w:val="5B6366"/>
                <w:sz w:val="16"/>
              </w:rPr>
              <w:t>Anticipated</w:t>
            </w:r>
            <w:r w:rsidR="006700A2">
              <w:rPr>
                <w:b/>
                <w:color w:val="5B6366"/>
                <w:sz w:val="16"/>
              </w:rPr>
              <w:t xml:space="preserve"> actions per year</w:t>
            </w:r>
          </w:p>
        </w:tc>
        <w:tc>
          <w:tcPr>
            <w:tcW w:w="3120" w:type="dxa"/>
            <w:shd w:val="clear" w:color="auto" w:fill="F4F8F6"/>
            <w:tcMar>
              <w:top w:w="100" w:type="dxa"/>
              <w:left w:w="120" w:type="dxa"/>
              <w:bottom w:w="100" w:type="dxa"/>
              <w:right w:w="120" w:type="dxa"/>
            </w:tcMar>
            <w:vAlign w:val="center"/>
          </w:tcPr>
          <w:p w14:paraId="69886260" w14:textId="6B7EA9AF" w:rsidR="00981EB7" w:rsidRDefault="00B91EE3">
            <w:pPr>
              <w:spacing w:after="20" w:line="240" w:lineRule="auto"/>
              <w:jc w:val="center"/>
            </w:pPr>
            <w:r>
              <w:rPr>
                <w:b/>
                <w:color w:val="0B3B2E"/>
                <w:sz w:val="36"/>
              </w:rPr>
              <w:t>32</w:t>
            </w:r>
          </w:p>
          <w:p w14:paraId="3032EACC" w14:textId="34100025" w:rsidR="00981EB7" w:rsidRDefault="006700A2">
            <w:pPr>
              <w:spacing w:after="0" w:line="240" w:lineRule="auto"/>
              <w:jc w:val="center"/>
            </w:pPr>
            <w:r>
              <w:rPr>
                <w:b/>
                <w:color w:val="5B6366"/>
                <w:sz w:val="16"/>
              </w:rPr>
              <w:t>u</w:t>
            </w:r>
            <w:r w:rsidR="00B91EE3">
              <w:rPr>
                <w:b/>
                <w:color w:val="5B6366"/>
                <w:sz w:val="16"/>
              </w:rPr>
              <w:t xml:space="preserve">pcoming </w:t>
            </w:r>
            <w:r>
              <w:rPr>
                <w:b/>
                <w:color w:val="5B6366"/>
                <w:sz w:val="16"/>
              </w:rPr>
              <w:t>undergraduate policy matters</w:t>
            </w:r>
          </w:p>
        </w:tc>
      </w:tr>
    </w:tbl>
    <w:p w14:paraId="4CC2A470" w14:textId="77777777" w:rsidR="003717E5" w:rsidRPr="003717E5" w:rsidRDefault="003717E5" w:rsidP="00896678">
      <w:pPr>
        <w:pStyle w:val="Heading1"/>
        <w:spacing w:before="160" w:after="80"/>
        <w:rPr>
          <w:rFonts w:ascii="Arial" w:hAnsi="Arial"/>
          <w:sz w:val="2"/>
          <w:szCs w:val="2"/>
        </w:rPr>
      </w:pPr>
    </w:p>
    <w:p w14:paraId="6D841841" w14:textId="771DC95B" w:rsidR="00896678" w:rsidRDefault="00E5040A" w:rsidP="00896678">
      <w:pPr>
        <w:pStyle w:val="Heading1"/>
        <w:spacing w:before="160" w:after="80"/>
      </w:pPr>
      <w:r>
        <w:rPr>
          <w:rFonts w:ascii="Arial" w:hAnsi="Arial"/>
        </w:rPr>
        <w:t>UCUE's</w:t>
      </w:r>
      <w:r w:rsidR="003717E5">
        <w:rPr>
          <w:rFonts w:ascii="Arial" w:hAnsi="Arial"/>
        </w:rPr>
        <w:t xml:space="preserve"> </w:t>
      </w:r>
      <w:r>
        <w:rPr>
          <w:rFonts w:ascii="Arial" w:hAnsi="Arial"/>
        </w:rPr>
        <w:t xml:space="preserve">charge is broad and </w:t>
      </w:r>
      <w:r w:rsidR="003717E5">
        <w:rPr>
          <w:rFonts w:ascii="Arial" w:hAnsi="Arial"/>
        </w:rPr>
        <w:t xml:space="preserve">yet </w:t>
      </w:r>
      <w:r>
        <w:rPr>
          <w:rFonts w:ascii="Arial" w:hAnsi="Arial"/>
        </w:rPr>
        <w:t>distinct</w:t>
      </w:r>
      <w:r w:rsidR="003717E5">
        <w:rPr>
          <w:rFonts w:ascii="Arial" w:hAnsi="Arial"/>
        </w:rPr>
        <w:t xml:space="preserve"> from this work</w:t>
      </w:r>
    </w:p>
    <w:p w14:paraId="7FA35B83" w14:textId="6AF7328A" w:rsidR="00896678" w:rsidRPr="005D4D03" w:rsidRDefault="00896678" w:rsidP="00896678">
      <w:pPr>
        <w:rPr>
          <w:sz w:val="20"/>
          <w:szCs w:val="20"/>
        </w:rPr>
      </w:pPr>
      <w:r w:rsidRPr="005D4D03">
        <w:rPr>
          <w:sz w:val="20"/>
          <w:szCs w:val="20"/>
        </w:rPr>
        <w:t>UCUE has 13 scheduled meetings in 2026–27. During the past ten years</w:t>
      </w:r>
      <w:r w:rsidR="005B0F1D">
        <w:rPr>
          <w:sz w:val="20"/>
          <w:szCs w:val="20"/>
        </w:rPr>
        <w:t>, there have been</w:t>
      </w:r>
      <w:r w:rsidR="005D4D03" w:rsidRPr="005D4D03">
        <w:rPr>
          <w:sz w:val="20"/>
          <w:szCs w:val="20"/>
        </w:rPr>
        <w:t xml:space="preserve"> </w:t>
      </w:r>
      <w:r w:rsidRPr="005D4D03">
        <w:rPr>
          <w:sz w:val="20"/>
          <w:szCs w:val="20"/>
        </w:rPr>
        <w:t xml:space="preserve">an average of 92 </w:t>
      </w:r>
      <w:r w:rsidR="005D4D03" w:rsidRPr="005D4D03">
        <w:rPr>
          <w:sz w:val="20"/>
          <w:szCs w:val="20"/>
        </w:rPr>
        <w:t xml:space="preserve">undergraduate program changes </w:t>
      </w:r>
      <w:r w:rsidRPr="005D4D03">
        <w:rPr>
          <w:sz w:val="20"/>
          <w:szCs w:val="20"/>
        </w:rPr>
        <w:t>annually. The new iterative Academic Programs Catalog policy-review process adds approximately 32 identified undergraduate-facing matters</w:t>
      </w:r>
      <w:r w:rsidR="00427395">
        <w:rPr>
          <w:sz w:val="20"/>
          <w:szCs w:val="20"/>
        </w:rPr>
        <w:t xml:space="preserve"> in the immediate future</w:t>
      </w:r>
      <w:r w:rsidRPr="005D4D03">
        <w:rPr>
          <w:sz w:val="20"/>
          <w:szCs w:val="20"/>
        </w:rPr>
        <w:t>.</w:t>
      </w:r>
    </w:p>
    <w:p w14:paraId="38FAB1FE" w14:textId="77777777" w:rsidR="00896678" w:rsidRPr="005D4D03" w:rsidRDefault="00896678" w:rsidP="00896678">
      <w:pPr>
        <w:spacing w:after="100" w:line="254" w:lineRule="auto"/>
        <w:rPr>
          <w:sz w:val="20"/>
          <w:szCs w:val="20"/>
        </w:rPr>
      </w:pPr>
      <w:r w:rsidRPr="005D4D03">
        <w:rPr>
          <w:color w:val="303030"/>
          <w:sz w:val="20"/>
          <w:szCs w:val="20"/>
        </w:rPr>
        <w:t>UCUE does not currently review new course proposals; UCC does. General Education stewardship would add a distinct course-level determination: whether courses meet General Education standards and student learning outcomes. Under the proposed Spartan Impact Framework, that work would include review of the full initial portfolio proposed for participation. Under either model, it continues as courses are added, revised, and periodically reconsidered.</w:t>
      </w:r>
    </w:p>
    <w:p w14:paraId="048B2B6D" w14:textId="18E6CDFA" w:rsidR="00896678" w:rsidRPr="005D4D03" w:rsidRDefault="00896678" w:rsidP="00896678">
      <w:pPr>
        <w:rPr>
          <w:sz w:val="20"/>
          <w:szCs w:val="20"/>
        </w:rPr>
      </w:pPr>
      <w:r w:rsidRPr="005D4D03">
        <w:rPr>
          <w:sz w:val="20"/>
          <w:szCs w:val="20"/>
        </w:rPr>
        <w:t xml:space="preserve">The need for university-wide faculty coordination does not, however, depend on approval of the Spartan Impact Framework. Campus community members have also called for clearer and more consistent General Education policies and processes. Under any model, General Education requires continuing coordination of academic </w:t>
      </w:r>
      <w:r w:rsidR="00427395" w:rsidRPr="005D4D03">
        <w:rPr>
          <w:sz w:val="20"/>
          <w:szCs w:val="20"/>
        </w:rPr>
        <w:t>standards, assessment</w:t>
      </w:r>
      <w:r w:rsidRPr="005D4D03">
        <w:rPr>
          <w:sz w:val="20"/>
          <w:szCs w:val="20"/>
        </w:rPr>
        <w:t>, transfe</w:t>
      </w:r>
      <w:r w:rsidR="00427395">
        <w:rPr>
          <w:sz w:val="20"/>
          <w:szCs w:val="20"/>
        </w:rPr>
        <w:t>r</w:t>
      </w:r>
      <w:r w:rsidRPr="005D4D03">
        <w:rPr>
          <w:sz w:val="20"/>
          <w:szCs w:val="20"/>
        </w:rPr>
        <w:t xml:space="preserve">, policy, and </w:t>
      </w:r>
      <w:r w:rsidR="00427395">
        <w:rPr>
          <w:sz w:val="20"/>
          <w:szCs w:val="20"/>
        </w:rPr>
        <w:t>continuous</w:t>
      </w:r>
      <w:r w:rsidRPr="005D4D03">
        <w:rPr>
          <w:sz w:val="20"/>
          <w:szCs w:val="20"/>
        </w:rPr>
        <w:t xml:space="preserve"> improvement.</w:t>
      </w:r>
    </w:p>
    <w:p w14:paraId="6A0DB961" w14:textId="09CA9262" w:rsidR="00981EB7" w:rsidRDefault="00896678" w:rsidP="00896678">
      <w:r w:rsidRPr="005D4D03">
        <w:rPr>
          <w:sz w:val="20"/>
          <w:szCs w:val="20"/>
        </w:rPr>
        <w:t xml:space="preserve">Assigning this work to UCUE would place both an immediate </w:t>
      </w:r>
      <w:r w:rsidR="005B0F1D">
        <w:rPr>
          <w:sz w:val="20"/>
          <w:szCs w:val="20"/>
        </w:rPr>
        <w:t xml:space="preserve">new </w:t>
      </w:r>
      <w:r w:rsidRPr="005D4D03">
        <w:rPr>
          <w:sz w:val="20"/>
          <w:szCs w:val="20"/>
        </w:rPr>
        <w:t>course-review responsibility and a permanent General Education stewardship portfolio alongside its existing authority over program actions and policies affecting grading, instruction, advising, admissions, retention, financial aid, and undergraduate resources. A committee with fewer than 23 scheduled meeting hours annually should not be expected to absorb a university-wide portfolio whose central work</w:t>
      </w:r>
      <w:r w:rsidR="00427395">
        <w:rPr>
          <w:sz w:val="20"/>
          <w:szCs w:val="20"/>
        </w:rPr>
        <w:t>—individual course review—</w:t>
      </w:r>
      <w:r w:rsidRPr="005D4D03">
        <w:rPr>
          <w:sz w:val="20"/>
          <w:szCs w:val="20"/>
        </w:rPr>
        <w:t>extends beyond its current review practice.</w:t>
      </w:r>
      <w:r>
        <w:br w:type="page"/>
      </w:r>
    </w:p>
    <w:p w14:paraId="765A1788" w14:textId="30579650" w:rsidR="00EA4D9F" w:rsidRDefault="00E5040A">
      <w:pPr>
        <w:pStyle w:val="Heading1"/>
        <w:spacing w:before="60" w:after="40"/>
      </w:pPr>
      <w:r>
        <w:rPr>
          <w:rFonts w:ascii="Arial" w:hAnsi="Arial"/>
          <w:color w:val="18453B"/>
          <w:sz w:val="27"/>
        </w:rPr>
        <w:lastRenderedPageBreak/>
        <w:t>General Education is</w:t>
      </w:r>
      <w:r w:rsidR="00427395">
        <w:rPr>
          <w:rFonts w:ascii="Arial" w:hAnsi="Arial"/>
          <w:color w:val="18453B"/>
          <w:sz w:val="27"/>
        </w:rPr>
        <w:t>,</w:t>
      </w:r>
      <w:r>
        <w:rPr>
          <w:rFonts w:ascii="Arial" w:hAnsi="Arial"/>
          <w:color w:val="18453B"/>
          <w:sz w:val="27"/>
        </w:rPr>
        <w:t xml:space="preserve"> itself</w:t>
      </w:r>
      <w:r w:rsidR="00427395">
        <w:rPr>
          <w:rFonts w:ascii="Arial" w:hAnsi="Arial"/>
          <w:color w:val="18453B"/>
          <w:sz w:val="27"/>
        </w:rPr>
        <w:t>,</w:t>
      </w:r>
      <w:r>
        <w:rPr>
          <w:rFonts w:ascii="Arial" w:hAnsi="Arial"/>
          <w:color w:val="18453B"/>
          <w:sz w:val="27"/>
        </w:rPr>
        <w:t xml:space="preserve"> a major academic portfolio</w:t>
      </w:r>
    </w:p>
    <w:tbl>
      <w:tblPr>
        <w:tblW w:w="9417" w:type="dxa"/>
        <w:jc w:val="center"/>
        <w:tblBorders>
          <w:top w:val="single" w:sz="7" w:space="0" w:color="18453B"/>
          <w:left w:val="single" w:sz="7" w:space="0" w:color="18453B"/>
          <w:bottom w:val="single" w:sz="7" w:space="0" w:color="18453B"/>
          <w:right w:val="single" w:sz="7" w:space="0" w:color="18453B"/>
          <w:insideH w:val="single" w:sz="7" w:space="0" w:color="18453B"/>
          <w:insideV w:val="single" w:sz="7" w:space="0" w:color="18453B"/>
        </w:tblBorders>
        <w:tblLayout w:type="fixed"/>
        <w:tblLook w:val="04A0" w:firstRow="1" w:lastRow="0" w:firstColumn="1" w:lastColumn="0" w:noHBand="0" w:noVBand="1"/>
      </w:tblPr>
      <w:tblGrid>
        <w:gridCol w:w="3139"/>
        <w:gridCol w:w="3139"/>
        <w:gridCol w:w="3139"/>
      </w:tblGrid>
      <w:tr w:rsidR="00427395" w14:paraId="13998F8C" w14:textId="579E71F3" w:rsidTr="00427395">
        <w:trPr>
          <w:tblHeader/>
          <w:jc w:val="center"/>
        </w:trPr>
        <w:tc>
          <w:tcPr>
            <w:tcW w:w="3139" w:type="dxa"/>
            <w:shd w:val="clear" w:color="auto" w:fill="E8F0ED"/>
            <w:tcMar>
              <w:top w:w="65" w:type="dxa"/>
              <w:left w:w="80" w:type="dxa"/>
              <w:bottom w:w="65" w:type="dxa"/>
              <w:right w:w="80" w:type="dxa"/>
            </w:tcMar>
          </w:tcPr>
          <w:p w14:paraId="7945BACF" w14:textId="16A7873B" w:rsidR="00427395" w:rsidRDefault="00427395">
            <w:pPr>
              <w:jc w:val="center"/>
            </w:pPr>
            <w:r>
              <w:rPr>
                <w:b/>
                <w:color w:val="18453B"/>
                <w:sz w:val="30"/>
              </w:rPr>
              <w:t>~75</w:t>
            </w:r>
            <w:r>
              <w:rPr>
                <w:b/>
                <w:color w:val="18453B"/>
                <w:sz w:val="30"/>
              </w:rPr>
              <w:br/>
            </w:r>
            <w:r>
              <w:rPr>
                <w:color w:val="303030"/>
                <w:sz w:val="16"/>
              </w:rPr>
              <w:t>currently identified courses</w:t>
            </w:r>
          </w:p>
        </w:tc>
        <w:tc>
          <w:tcPr>
            <w:tcW w:w="3139" w:type="dxa"/>
            <w:shd w:val="clear" w:color="auto" w:fill="E8F0ED"/>
            <w:tcMar>
              <w:top w:w="65" w:type="dxa"/>
              <w:left w:w="80" w:type="dxa"/>
              <w:bottom w:w="65" w:type="dxa"/>
              <w:right w:w="80" w:type="dxa"/>
            </w:tcMar>
          </w:tcPr>
          <w:p w14:paraId="77A1C1ED" w14:textId="7F468121" w:rsidR="00427395" w:rsidRDefault="00427395">
            <w:pPr>
              <w:jc w:val="center"/>
            </w:pPr>
            <w:r>
              <w:rPr>
                <w:b/>
                <w:color w:val="18453B"/>
                <w:sz w:val="30"/>
              </w:rPr>
              <w:t>~2000</w:t>
            </w:r>
            <w:r>
              <w:rPr>
                <w:b/>
                <w:color w:val="18453B"/>
                <w:sz w:val="30"/>
              </w:rPr>
              <w:br/>
            </w:r>
            <w:r>
              <w:rPr>
                <w:color w:val="303030"/>
                <w:sz w:val="16"/>
              </w:rPr>
              <w:t>current annual sections</w:t>
            </w:r>
          </w:p>
        </w:tc>
        <w:tc>
          <w:tcPr>
            <w:tcW w:w="3139" w:type="dxa"/>
            <w:shd w:val="clear" w:color="auto" w:fill="E8F0ED"/>
          </w:tcPr>
          <w:p w14:paraId="74865456" w14:textId="0EE4A291" w:rsidR="00427395" w:rsidRDefault="00A6049D">
            <w:pPr>
              <w:jc w:val="center"/>
              <w:rPr>
                <w:b/>
                <w:color w:val="18453B"/>
                <w:sz w:val="30"/>
              </w:rPr>
            </w:pPr>
            <w:r>
              <w:rPr>
                <w:b/>
                <w:color w:val="18453B"/>
                <w:sz w:val="30"/>
              </w:rPr>
              <w:t>7</w:t>
            </w:r>
            <w:r w:rsidR="00744666">
              <w:rPr>
                <w:rStyle w:val="FootnoteReference"/>
                <w:b/>
                <w:color w:val="18453B"/>
                <w:sz w:val="30"/>
              </w:rPr>
              <w:footnoteReference w:id="1"/>
            </w:r>
            <w:r w:rsidR="00427395">
              <w:rPr>
                <w:b/>
                <w:color w:val="18453B"/>
                <w:sz w:val="30"/>
              </w:rPr>
              <w:br/>
            </w:r>
            <w:r>
              <w:rPr>
                <w:color w:val="303030"/>
                <w:sz w:val="16"/>
              </w:rPr>
              <w:t>number of colleges currently providing general education</w:t>
            </w:r>
          </w:p>
        </w:tc>
      </w:tr>
    </w:tbl>
    <w:p w14:paraId="555251EF" w14:textId="77777777" w:rsidR="00B91EE3" w:rsidRDefault="00B91EE3">
      <w:pPr>
        <w:spacing w:after="48" w:line="240" w:lineRule="auto"/>
        <w:rPr>
          <w:color w:val="303030"/>
          <w:sz w:val="20"/>
        </w:rPr>
      </w:pPr>
    </w:p>
    <w:p w14:paraId="0524AE3A" w14:textId="78C9DA2E" w:rsidR="00EA4D9F" w:rsidRPr="005D4D03" w:rsidRDefault="00E5040A">
      <w:pPr>
        <w:spacing w:after="48" w:line="240" w:lineRule="auto"/>
        <w:rPr>
          <w:color w:val="303030"/>
          <w:sz w:val="20"/>
        </w:rPr>
      </w:pPr>
      <w:r w:rsidRPr="005D4D03">
        <w:rPr>
          <w:color w:val="303030"/>
          <w:sz w:val="20"/>
        </w:rPr>
        <w:t>The curriculum is distributed across colleges and academic units and serves nearly every undergraduate student. Integrative Arts and Humanities alone enrolls approximately 15,500 students and generates 62,000 student credit hours annually. Colleges have sustained General Education for decades, but the common curriculum belongs to the faculty of the university collectively. That collective ownership requires university-level stewardship.</w:t>
      </w:r>
    </w:p>
    <w:p w14:paraId="12EBBDA1" w14:textId="77777777" w:rsidR="005D4D03" w:rsidRPr="003717E5" w:rsidRDefault="005D4D03">
      <w:pPr>
        <w:spacing w:after="48" w:line="240" w:lineRule="auto"/>
        <w:rPr>
          <w:sz w:val="16"/>
          <w:szCs w:val="18"/>
        </w:rPr>
      </w:pPr>
    </w:p>
    <w:p w14:paraId="6B3C9BAB" w14:textId="77777777" w:rsidR="00EA4D9F" w:rsidRDefault="00E5040A">
      <w:pPr>
        <w:pStyle w:val="Heading1"/>
        <w:spacing w:before="60" w:after="40"/>
      </w:pPr>
      <w:r>
        <w:rPr>
          <w:rFonts w:ascii="Arial" w:hAnsi="Arial"/>
          <w:color w:val="18453B"/>
          <w:sz w:val="27"/>
        </w:rPr>
        <w:t>Faculty stewardship is required under either model</w:t>
      </w:r>
    </w:p>
    <w:tbl>
      <w:tblPr>
        <w:tblW w:w="9417" w:type="dxa"/>
        <w:jc w:val="center"/>
        <w:tblBorders>
          <w:top w:val="single" w:sz="6" w:space="0" w:color="B7C8C1"/>
          <w:left w:val="single" w:sz="6" w:space="0" w:color="B7C8C1"/>
          <w:bottom w:val="single" w:sz="6" w:space="0" w:color="B7C8C1"/>
          <w:right w:val="single" w:sz="6" w:space="0" w:color="B7C8C1"/>
          <w:insideH w:val="single" w:sz="6" w:space="0" w:color="B7C8C1"/>
          <w:insideV w:val="single" w:sz="6" w:space="0" w:color="B7C8C1"/>
        </w:tblBorders>
        <w:tblLayout w:type="fixed"/>
        <w:tblLook w:val="04A0" w:firstRow="1" w:lastRow="0" w:firstColumn="1" w:lastColumn="0" w:noHBand="0" w:noVBand="1"/>
      </w:tblPr>
      <w:tblGrid>
        <w:gridCol w:w="4680"/>
        <w:gridCol w:w="1915"/>
        <w:gridCol w:w="2822"/>
      </w:tblGrid>
      <w:tr w:rsidR="00EA4D9F" w14:paraId="182FD76C" w14:textId="77777777">
        <w:trPr>
          <w:tblHeader/>
          <w:jc w:val="center"/>
        </w:trPr>
        <w:tc>
          <w:tcPr>
            <w:tcW w:w="4680" w:type="dxa"/>
            <w:shd w:val="clear" w:color="auto" w:fill="18453B"/>
            <w:tcMar>
              <w:top w:w="90" w:type="dxa"/>
              <w:left w:w="110" w:type="dxa"/>
              <w:bottom w:w="90" w:type="dxa"/>
              <w:right w:w="110" w:type="dxa"/>
            </w:tcMar>
            <w:vAlign w:val="center"/>
          </w:tcPr>
          <w:p w14:paraId="0F2CDC98" w14:textId="77777777" w:rsidR="00EA4D9F" w:rsidRPr="00B91EE3" w:rsidRDefault="00E5040A">
            <w:pPr>
              <w:spacing w:after="0" w:line="240" w:lineRule="auto"/>
              <w:jc w:val="center"/>
              <w:rPr>
                <w:sz w:val="20"/>
                <w:szCs w:val="28"/>
              </w:rPr>
            </w:pPr>
            <w:r w:rsidRPr="00B91EE3">
              <w:rPr>
                <w:b/>
                <w:color w:val="FFFFFF"/>
                <w:sz w:val="20"/>
                <w:szCs w:val="28"/>
              </w:rPr>
              <w:t>Sustained faculty responsibility</w:t>
            </w:r>
          </w:p>
        </w:tc>
        <w:tc>
          <w:tcPr>
            <w:tcW w:w="1915" w:type="dxa"/>
            <w:shd w:val="clear" w:color="auto" w:fill="18453B"/>
            <w:tcMar>
              <w:top w:w="90" w:type="dxa"/>
              <w:left w:w="110" w:type="dxa"/>
              <w:bottom w:w="90" w:type="dxa"/>
              <w:right w:w="110" w:type="dxa"/>
            </w:tcMar>
            <w:vAlign w:val="center"/>
          </w:tcPr>
          <w:p w14:paraId="4717753B" w14:textId="77777777" w:rsidR="00EA4D9F" w:rsidRPr="00B91EE3" w:rsidRDefault="00E5040A">
            <w:pPr>
              <w:spacing w:after="0" w:line="240" w:lineRule="auto"/>
              <w:jc w:val="center"/>
              <w:rPr>
                <w:sz w:val="20"/>
                <w:szCs w:val="28"/>
              </w:rPr>
            </w:pPr>
            <w:r w:rsidRPr="00B91EE3">
              <w:rPr>
                <w:b/>
                <w:color w:val="FFFFFF"/>
                <w:sz w:val="20"/>
                <w:szCs w:val="28"/>
              </w:rPr>
              <w:t>Current program</w:t>
            </w:r>
          </w:p>
        </w:tc>
        <w:tc>
          <w:tcPr>
            <w:tcW w:w="2822" w:type="dxa"/>
            <w:shd w:val="clear" w:color="auto" w:fill="18453B"/>
            <w:tcMar>
              <w:top w:w="90" w:type="dxa"/>
              <w:left w:w="110" w:type="dxa"/>
              <w:bottom w:w="90" w:type="dxa"/>
              <w:right w:w="110" w:type="dxa"/>
            </w:tcMar>
            <w:vAlign w:val="center"/>
          </w:tcPr>
          <w:p w14:paraId="69F9333F" w14:textId="77777777" w:rsidR="00EA4D9F" w:rsidRPr="00B91EE3" w:rsidRDefault="00E5040A">
            <w:pPr>
              <w:spacing w:after="0" w:line="240" w:lineRule="auto"/>
              <w:jc w:val="center"/>
              <w:rPr>
                <w:sz w:val="20"/>
                <w:szCs w:val="28"/>
              </w:rPr>
            </w:pPr>
            <w:r w:rsidRPr="00B91EE3">
              <w:rPr>
                <w:b/>
                <w:color w:val="FFFFFF"/>
                <w:sz w:val="20"/>
                <w:szCs w:val="28"/>
              </w:rPr>
              <w:t>Spartan Impact Framework</w:t>
            </w:r>
          </w:p>
        </w:tc>
      </w:tr>
      <w:tr w:rsidR="00EA4D9F" w14:paraId="18C32D8B" w14:textId="77777777">
        <w:trPr>
          <w:jc w:val="center"/>
        </w:trPr>
        <w:tc>
          <w:tcPr>
            <w:tcW w:w="4680" w:type="dxa"/>
            <w:tcMar>
              <w:top w:w="55" w:type="dxa"/>
              <w:left w:w="90" w:type="dxa"/>
              <w:bottom w:w="55" w:type="dxa"/>
              <w:right w:w="90" w:type="dxa"/>
            </w:tcMar>
            <w:vAlign w:val="center"/>
          </w:tcPr>
          <w:p w14:paraId="7E681469" w14:textId="7154B926" w:rsidR="00EA4D9F" w:rsidRPr="00744666" w:rsidRDefault="00E5040A">
            <w:pPr>
              <w:spacing w:after="0" w:line="240" w:lineRule="auto"/>
              <w:rPr>
                <w:sz w:val="18"/>
                <w:szCs w:val="24"/>
              </w:rPr>
            </w:pPr>
            <w:r w:rsidRPr="00744666">
              <w:rPr>
                <w:color w:val="303030"/>
                <w:sz w:val="18"/>
                <w:szCs w:val="24"/>
              </w:rPr>
              <w:t>Review courses proposed for substantive changes</w:t>
            </w:r>
          </w:p>
        </w:tc>
        <w:tc>
          <w:tcPr>
            <w:tcW w:w="1915" w:type="dxa"/>
            <w:tcMar>
              <w:top w:w="55" w:type="dxa"/>
              <w:left w:w="90" w:type="dxa"/>
              <w:bottom w:w="55" w:type="dxa"/>
              <w:right w:w="90" w:type="dxa"/>
            </w:tcMar>
            <w:vAlign w:val="center"/>
          </w:tcPr>
          <w:p w14:paraId="79E3F99A"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tcMar>
              <w:top w:w="55" w:type="dxa"/>
              <w:left w:w="90" w:type="dxa"/>
              <w:bottom w:w="55" w:type="dxa"/>
              <w:right w:w="90" w:type="dxa"/>
            </w:tcMar>
            <w:vAlign w:val="center"/>
          </w:tcPr>
          <w:p w14:paraId="39EB73B8" w14:textId="77777777" w:rsidR="00EA4D9F" w:rsidRPr="00744666" w:rsidRDefault="00E5040A">
            <w:pPr>
              <w:spacing w:after="0" w:line="240" w:lineRule="auto"/>
              <w:jc w:val="center"/>
              <w:rPr>
                <w:sz w:val="18"/>
                <w:szCs w:val="24"/>
              </w:rPr>
            </w:pPr>
            <w:r w:rsidRPr="00744666">
              <w:rPr>
                <w:color w:val="303030"/>
                <w:sz w:val="18"/>
                <w:szCs w:val="24"/>
              </w:rPr>
              <w:t>Full initial portfolio, then continuing review</w:t>
            </w:r>
          </w:p>
        </w:tc>
      </w:tr>
      <w:tr w:rsidR="00EA4D9F" w14:paraId="7757ED4F" w14:textId="77777777">
        <w:trPr>
          <w:jc w:val="center"/>
        </w:trPr>
        <w:tc>
          <w:tcPr>
            <w:tcW w:w="4680" w:type="dxa"/>
            <w:shd w:val="clear" w:color="auto" w:fill="F4F7F5"/>
            <w:tcMar>
              <w:top w:w="55" w:type="dxa"/>
              <w:left w:w="90" w:type="dxa"/>
              <w:bottom w:w="55" w:type="dxa"/>
              <w:right w:w="90" w:type="dxa"/>
            </w:tcMar>
            <w:vAlign w:val="center"/>
          </w:tcPr>
          <w:p w14:paraId="12B6DCDB" w14:textId="77777777" w:rsidR="00EA4D9F" w:rsidRPr="00744666" w:rsidRDefault="00E5040A">
            <w:pPr>
              <w:spacing w:after="0" w:line="240" w:lineRule="auto"/>
              <w:rPr>
                <w:sz w:val="18"/>
                <w:szCs w:val="24"/>
              </w:rPr>
            </w:pPr>
            <w:r w:rsidRPr="00744666">
              <w:rPr>
                <w:color w:val="303030"/>
                <w:sz w:val="18"/>
                <w:szCs w:val="24"/>
              </w:rPr>
              <w:t>Maintain standards aligned with student learning outcomes</w:t>
            </w:r>
          </w:p>
        </w:tc>
        <w:tc>
          <w:tcPr>
            <w:tcW w:w="1915" w:type="dxa"/>
            <w:shd w:val="clear" w:color="auto" w:fill="F4F7F5"/>
            <w:tcMar>
              <w:top w:w="55" w:type="dxa"/>
              <w:left w:w="90" w:type="dxa"/>
              <w:bottom w:w="55" w:type="dxa"/>
              <w:right w:w="90" w:type="dxa"/>
            </w:tcMar>
            <w:vAlign w:val="center"/>
          </w:tcPr>
          <w:p w14:paraId="0C43693F"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shd w:val="clear" w:color="auto" w:fill="F4F7F5"/>
            <w:tcMar>
              <w:top w:w="55" w:type="dxa"/>
              <w:left w:w="90" w:type="dxa"/>
              <w:bottom w:w="55" w:type="dxa"/>
              <w:right w:w="90" w:type="dxa"/>
            </w:tcMar>
            <w:vAlign w:val="center"/>
          </w:tcPr>
          <w:p w14:paraId="11294565" w14:textId="77777777" w:rsidR="00EA4D9F" w:rsidRPr="00744666" w:rsidRDefault="00E5040A">
            <w:pPr>
              <w:spacing w:after="0" w:line="240" w:lineRule="auto"/>
              <w:jc w:val="center"/>
              <w:rPr>
                <w:sz w:val="18"/>
                <w:szCs w:val="24"/>
              </w:rPr>
            </w:pPr>
            <w:r w:rsidRPr="00744666">
              <w:rPr>
                <w:color w:val="303030"/>
                <w:sz w:val="18"/>
                <w:szCs w:val="24"/>
              </w:rPr>
              <w:t>Required</w:t>
            </w:r>
          </w:p>
        </w:tc>
      </w:tr>
      <w:tr w:rsidR="00EA4D9F" w14:paraId="0F7F6911" w14:textId="77777777">
        <w:trPr>
          <w:jc w:val="center"/>
        </w:trPr>
        <w:tc>
          <w:tcPr>
            <w:tcW w:w="4680" w:type="dxa"/>
            <w:tcMar>
              <w:top w:w="55" w:type="dxa"/>
              <w:left w:w="90" w:type="dxa"/>
              <w:bottom w:w="55" w:type="dxa"/>
              <w:right w:w="90" w:type="dxa"/>
            </w:tcMar>
            <w:vAlign w:val="center"/>
          </w:tcPr>
          <w:p w14:paraId="0337E3B1" w14:textId="77777777" w:rsidR="00EA4D9F" w:rsidRPr="00744666" w:rsidRDefault="00E5040A">
            <w:pPr>
              <w:spacing w:after="0" w:line="240" w:lineRule="auto"/>
              <w:rPr>
                <w:sz w:val="18"/>
                <w:szCs w:val="24"/>
              </w:rPr>
            </w:pPr>
            <w:r w:rsidRPr="00744666">
              <w:rPr>
                <w:color w:val="303030"/>
                <w:sz w:val="18"/>
                <w:szCs w:val="24"/>
              </w:rPr>
              <w:t>Recommend policy for requirements, structure, and progression</w:t>
            </w:r>
          </w:p>
        </w:tc>
        <w:tc>
          <w:tcPr>
            <w:tcW w:w="1915" w:type="dxa"/>
            <w:tcMar>
              <w:top w:w="55" w:type="dxa"/>
              <w:left w:w="90" w:type="dxa"/>
              <w:bottom w:w="55" w:type="dxa"/>
              <w:right w:w="90" w:type="dxa"/>
            </w:tcMar>
            <w:vAlign w:val="center"/>
          </w:tcPr>
          <w:p w14:paraId="1226B7AC"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tcMar>
              <w:top w:w="55" w:type="dxa"/>
              <w:left w:w="90" w:type="dxa"/>
              <w:bottom w:w="55" w:type="dxa"/>
              <w:right w:w="90" w:type="dxa"/>
            </w:tcMar>
            <w:vAlign w:val="center"/>
          </w:tcPr>
          <w:p w14:paraId="72610811" w14:textId="77777777" w:rsidR="00EA4D9F" w:rsidRPr="00744666" w:rsidRDefault="00E5040A">
            <w:pPr>
              <w:spacing w:after="0" w:line="240" w:lineRule="auto"/>
              <w:jc w:val="center"/>
              <w:rPr>
                <w:sz w:val="18"/>
                <w:szCs w:val="24"/>
              </w:rPr>
            </w:pPr>
            <w:r w:rsidRPr="00744666">
              <w:rPr>
                <w:color w:val="303030"/>
                <w:sz w:val="18"/>
                <w:szCs w:val="24"/>
              </w:rPr>
              <w:t>Required</w:t>
            </w:r>
          </w:p>
        </w:tc>
      </w:tr>
      <w:tr w:rsidR="00EA4D9F" w14:paraId="7AF6502B" w14:textId="77777777">
        <w:trPr>
          <w:jc w:val="center"/>
        </w:trPr>
        <w:tc>
          <w:tcPr>
            <w:tcW w:w="4680" w:type="dxa"/>
            <w:shd w:val="clear" w:color="auto" w:fill="F4F7F5"/>
            <w:tcMar>
              <w:top w:w="55" w:type="dxa"/>
              <w:left w:w="90" w:type="dxa"/>
              <w:bottom w:w="55" w:type="dxa"/>
              <w:right w:w="90" w:type="dxa"/>
            </w:tcMar>
            <w:vAlign w:val="center"/>
          </w:tcPr>
          <w:p w14:paraId="25EE7271" w14:textId="77777777" w:rsidR="00EA4D9F" w:rsidRPr="00744666" w:rsidRDefault="00E5040A">
            <w:pPr>
              <w:spacing w:after="0" w:line="240" w:lineRule="auto"/>
              <w:rPr>
                <w:sz w:val="18"/>
                <w:szCs w:val="24"/>
              </w:rPr>
            </w:pPr>
            <w:r w:rsidRPr="00744666">
              <w:rPr>
                <w:color w:val="303030"/>
                <w:sz w:val="18"/>
                <w:szCs w:val="24"/>
              </w:rPr>
              <w:t>Address transfer and articulation with the Registrar</w:t>
            </w:r>
          </w:p>
        </w:tc>
        <w:tc>
          <w:tcPr>
            <w:tcW w:w="1915" w:type="dxa"/>
            <w:shd w:val="clear" w:color="auto" w:fill="F4F7F5"/>
            <w:tcMar>
              <w:top w:w="55" w:type="dxa"/>
              <w:left w:w="90" w:type="dxa"/>
              <w:bottom w:w="55" w:type="dxa"/>
              <w:right w:w="90" w:type="dxa"/>
            </w:tcMar>
            <w:vAlign w:val="center"/>
          </w:tcPr>
          <w:p w14:paraId="47A9148B"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shd w:val="clear" w:color="auto" w:fill="F4F7F5"/>
            <w:tcMar>
              <w:top w:w="55" w:type="dxa"/>
              <w:left w:w="90" w:type="dxa"/>
              <w:bottom w:w="55" w:type="dxa"/>
              <w:right w:w="90" w:type="dxa"/>
            </w:tcMar>
            <w:vAlign w:val="center"/>
          </w:tcPr>
          <w:p w14:paraId="3C85FAE1" w14:textId="77777777" w:rsidR="00EA4D9F" w:rsidRPr="00744666" w:rsidRDefault="00E5040A">
            <w:pPr>
              <w:spacing w:after="0" w:line="240" w:lineRule="auto"/>
              <w:jc w:val="center"/>
              <w:rPr>
                <w:sz w:val="18"/>
                <w:szCs w:val="24"/>
              </w:rPr>
            </w:pPr>
            <w:r w:rsidRPr="00744666">
              <w:rPr>
                <w:color w:val="303030"/>
                <w:sz w:val="18"/>
                <w:szCs w:val="24"/>
              </w:rPr>
              <w:t>Required</w:t>
            </w:r>
          </w:p>
        </w:tc>
      </w:tr>
      <w:tr w:rsidR="00EA4D9F" w14:paraId="7B98ABD8" w14:textId="77777777">
        <w:trPr>
          <w:jc w:val="center"/>
        </w:trPr>
        <w:tc>
          <w:tcPr>
            <w:tcW w:w="4680" w:type="dxa"/>
            <w:tcMar>
              <w:top w:w="55" w:type="dxa"/>
              <w:left w:w="90" w:type="dxa"/>
              <w:bottom w:w="55" w:type="dxa"/>
              <w:right w:w="90" w:type="dxa"/>
            </w:tcMar>
            <w:vAlign w:val="center"/>
          </w:tcPr>
          <w:p w14:paraId="566E77EF" w14:textId="77777777" w:rsidR="00EA4D9F" w:rsidRPr="00744666" w:rsidRDefault="00E5040A">
            <w:pPr>
              <w:spacing w:after="0" w:line="240" w:lineRule="auto"/>
              <w:rPr>
                <w:sz w:val="18"/>
                <w:szCs w:val="24"/>
              </w:rPr>
            </w:pPr>
            <w:r w:rsidRPr="00744666">
              <w:rPr>
                <w:color w:val="303030"/>
                <w:sz w:val="18"/>
                <w:szCs w:val="24"/>
              </w:rPr>
              <w:t>Review assessment evidence and guide iterative improvement</w:t>
            </w:r>
          </w:p>
        </w:tc>
        <w:tc>
          <w:tcPr>
            <w:tcW w:w="1915" w:type="dxa"/>
            <w:tcMar>
              <w:top w:w="55" w:type="dxa"/>
              <w:left w:w="90" w:type="dxa"/>
              <w:bottom w:w="55" w:type="dxa"/>
              <w:right w:w="90" w:type="dxa"/>
            </w:tcMar>
            <w:vAlign w:val="center"/>
          </w:tcPr>
          <w:p w14:paraId="66FBDE78"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tcMar>
              <w:top w:w="55" w:type="dxa"/>
              <w:left w:w="90" w:type="dxa"/>
              <w:bottom w:w="55" w:type="dxa"/>
              <w:right w:w="90" w:type="dxa"/>
            </w:tcMar>
            <w:vAlign w:val="center"/>
          </w:tcPr>
          <w:p w14:paraId="679288D8" w14:textId="77777777" w:rsidR="00EA4D9F" w:rsidRPr="00744666" w:rsidRDefault="00E5040A">
            <w:pPr>
              <w:spacing w:after="0" w:line="240" w:lineRule="auto"/>
              <w:jc w:val="center"/>
              <w:rPr>
                <w:sz w:val="18"/>
                <w:szCs w:val="24"/>
              </w:rPr>
            </w:pPr>
            <w:r w:rsidRPr="00744666">
              <w:rPr>
                <w:color w:val="303030"/>
                <w:sz w:val="18"/>
                <w:szCs w:val="24"/>
              </w:rPr>
              <w:t>Required</w:t>
            </w:r>
          </w:p>
        </w:tc>
      </w:tr>
      <w:tr w:rsidR="00EA4D9F" w14:paraId="06908706" w14:textId="77777777">
        <w:trPr>
          <w:jc w:val="center"/>
        </w:trPr>
        <w:tc>
          <w:tcPr>
            <w:tcW w:w="4680" w:type="dxa"/>
            <w:shd w:val="clear" w:color="auto" w:fill="F4F7F5"/>
            <w:tcMar>
              <w:top w:w="55" w:type="dxa"/>
              <w:left w:w="90" w:type="dxa"/>
              <w:bottom w:w="55" w:type="dxa"/>
              <w:right w:w="90" w:type="dxa"/>
            </w:tcMar>
            <w:vAlign w:val="center"/>
          </w:tcPr>
          <w:p w14:paraId="2B057475" w14:textId="5A4FD480" w:rsidR="00EA4D9F" w:rsidRPr="00744666" w:rsidRDefault="00E5040A">
            <w:pPr>
              <w:spacing w:after="0" w:line="240" w:lineRule="auto"/>
              <w:rPr>
                <w:sz w:val="18"/>
                <w:szCs w:val="24"/>
              </w:rPr>
            </w:pPr>
            <w:r w:rsidRPr="00744666">
              <w:rPr>
                <w:color w:val="303030"/>
                <w:sz w:val="18"/>
                <w:szCs w:val="24"/>
              </w:rPr>
              <w:t>Oversee strategic direction</w:t>
            </w:r>
          </w:p>
        </w:tc>
        <w:tc>
          <w:tcPr>
            <w:tcW w:w="1915" w:type="dxa"/>
            <w:shd w:val="clear" w:color="auto" w:fill="F4F7F5"/>
            <w:tcMar>
              <w:top w:w="55" w:type="dxa"/>
              <w:left w:w="90" w:type="dxa"/>
              <w:bottom w:w="55" w:type="dxa"/>
              <w:right w:w="90" w:type="dxa"/>
            </w:tcMar>
            <w:vAlign w:val="center"/>
          </w:tcPr>
          <w:p w14:paraId="0B517111" w14:textId="77777777" w:rsidR="00EA4D9F" w:rsidRPr="00744666" w:rsidRDefault="00E5040A">
            <w:pPr>
              <w:spacing w:after="0" w:line="240" w:lineRule="auto"/>
              <w:jc w:val="center"/>
              <w:rPr>
                <w:sz w:val="18"/>
                <w:szCs w:val="24"/>
              </w:rPr>
            </w:pPr>
            <w:r w:rsidRPr="00744666">
              <w:rPr>
                <w:color w:val="303030"/>
                <w:sz w:val="18"/>
                <w:szCs w:val="24"/>
              </w:rPr>
              <w:t>Required</w:t>
            </w:r>
          </w:p>
        </w:tc>
        <w:tc>
          <w:tcPr>
            <w:tcW w:w="2822" w:type="dxa"/>
            <w:shd w:val="clear" w:color="auto" w:fill="F4F7F5"/>
            <w:tcMar>
              <w:top w:w="55" w:type="dxa"/>
              <w:left w:w="90" w:type="dxa"/>
              <w:bottom w:w="55" w:type="dxa"/>
              <w:right w:w="90" w:type="dxa"/>
            </w:tcMar>
            <w:vAlign w:val="center"/>
          </w:tcPr>
          <w:p w14:paraId="4E6B545E" w14:textId="77777777" w:rsidR="00EA4D9F" w:rsidRPr="00744666" w:rsidRDefault="00E5040A">
            <w:pPr>
              <w:spacing w:after="0" w:line="240" w:lineRule="auto"/>
              <w:jc w:val="center"/>
              <w:rPr>
                <w:sz w:val="18"/>
                <w:szCs w:val="24"/>
              </w:rPr>
            </w:pPr>
            <w:r w:rsidRPr="00744666">
              <w:rPr>
                <w:color w:val="303030"/>
                <w:sz w:val="18"/>
                <w:szCs w:val="24"/>
              </w:rPr>
              <w:t>Required</w:t>
            </w:r>
          </w:p>
        </w:tc>
      </w:tr>
    </w:tbl>
    <w:p w14:paraId="0CF4AF11" w14:textId="77777777" w:rsidR="005D4D03" w:rsidRPr="003717E5" w:rsidRDefault="005D4D03">
      <w:pPr>
        <w:pStyle w:val="Heading1"/>
        <w:spacing w:before="60" w:after="40"/>
        <w:rPr>
          <w:rFonts w:ascii="Arial" w:hAnsi="Arial"/>
          <w:color w:val="18453B"/>
          <w:sz w:val="16"/>
          <w:szCs w:val="16"/>
        </w:rPr>
      </w:pPr>
    </w:p>
    <w:p w14:paraId="078177C0" w14:textId="511425A3" w:rsidR="00EA4D9F" w:rsidRDefault="00E5040A">
      <w:pPr>
        <w:pStyle w:val="Heading1"/>
        <w:spacing w:before="60" w:after="40"/>
      </w:pPr>
      <w:r>
        <w:rPr>
          <w:rFonts w:ascii="Arial" w:hAnsi="Arial"/>
          <w:color w:val="18453B"/>
          <w:sz w:val="27"/>
        </w:rPr>
        <w:t>Distinct authority, coordinated governance</w:t>
      </w:r>
    </w:p>
    <w:p w14:paraId="0CDBBB1F" w14:textId="282BE00B" w:rsidR="00EA4D9F" w:rsidRPr="005D4D03" w:rsidRDefault="00E5040A">
      <w:pPr>
        <w:spacing w:after="40" w:line="240" w:lineRule="auto"/>
        <w:rPr>
          <w:color w:val="303030"/>
          <w:sz w:val="20"/>
          <w:szCs w:val="24"/>
        </w:rPr>
      </w:pPr>
      <w:r w:rsidRPr="005D4D03">
        <w:rPr>
          <w:color w:val="303030"/>
          <w:sz w:val="20"/>
          <w:szCs w:val="24"/>
        </w:rPr>
        <w:t xml:space="preserve">MSU already uses coordinated review for teacher preparation. The Teacher Education Council (TEC) determines whether </w:t>
      </w:r>
      <w:r w:rsidR="00427395">
        <w:rPr>
          <w:color w:val="303030"/>
          <w:sz w:val="20"/>
          <w:szCs w:val="24"/>
        </w:rPr>
        <w:t xml:space="preserve">cross-college </w:t>
      </w:r>
      <w:r w:rsidRPr="005D4D03">
        <w:rPr>
          <w:color w:val="303030"/>
          <w:sz w:val="20"/>
          <w:szCs w:val="24"/>
        </w:rPr>
        <w:t>programs leading to teacher certification meet certification requirements. UCC separately retains formal approval of the associated curricular actions. The reviews are complementary because they answer different academic questions.</w:t>
      </w:r>
    </w:p>
    <w:p w14:paraId="0DF7671F" w14:textId="77777777" w:rsidR="005D4D03" w:rsidRDefault="005D4D03">
      <w:pPr>
        <w:spacing w:after="40" w:line="240" w:lineRule="auto"/>
      </w:pPr>
    </w:p>
    <w:tbl>
      <w:tblPr>
        <w:tblW w:w="9417" w:type="dxa"/>
        <w:jc w:val="center"/>
        <w:tblBorders>
          <w:top w:val="single" w:sz="6" w:space="0" w:color="B7C8C1"/>
          <w:left w:val="single" w:sz="6" w:space="0" w:color="B7C8C1"/>
          <w:bottom w:val="single" w:sz="6" w:space="0" w:color="B7C8C1"/>
          <w:right w:val="single" w:sz="6" w:space="0" w:color="B7C8C1"/>
          <w:insideH w:val="single" w:sz="6" w:space="0" w:color="B7C8C1"/>
          <w:insideV w:val="single" w:sz="6" w:space="0" w:color="B7C8C1"/>
        </w:tblBorders>
        <w:tblLayout w:type="fixed"/>
        <w:tblLook w:val="04A0" w:firstRow="1" w:lastRow="0" w:firstColumn="1" w:lastColumn="0" w:noHBand="0" w:noVBand="1"/>
      </w:tblPr>
      <w:tblGrid>
        <w:gridCol w:w="2059"/>
        <w:gridCol w:w="4320"/>
        <w:gridCol w:w="3038"/>
      </w:tblGrid>
      <w:tr w:rsidR="00EA4D9F" w14:paraId="7B432DFE" w14:textId="77777777">
        <w:trPr>
          <w:tblHeader/>
          <w:jc w:val="center"/>
        </w:trPr>
        <w:tc>
          <w:tcPr>
            <w:tcW w:w="2059" w:type="dxa"/>
            <w:shd w:val="clear" w:color="auto" w:fill="18453B"/>
            <w:tcMar>
              <w:top w:w="90" w:type="dxa"/>
              <w:left w:w="110" w:type="dxa"/>
              <w:bottom w:w="90" w:type="dxa"/>
              <w:right w:w="110" w:type="dxa"/>
            </w:tcMar>
            <w:vAlign w:val="center"/>
          </w:tcPr>
          <w:p w14:paraId="64A65AD8" w14:textId="77777777" w:rsidR="00EA4D9F" w:rsidRPr="00B91EE3" w:rsidRDefault="00E5040A">
            <w:pPr>
              <w:spacing w:after="0" w:line="240" w:lineRule="auto"/>
              <w:jc w:val="center"/>
              <w:rPr>
                <w:sz w:val="18"/>
                <w:szCs w:val="24"/>
              </w:rPr>
            </w:pPr>
            <w:r w:rsidRPr="00B91EE3">
              <w:rPr>
                <w:b/>
                <w:color w:val="FFFFFF"/>
                <w:sz w:val="18"/>
                <w:szCs w:val="24"/>
              </w:rPr>
              <w:t>Specialized body</w:t>
            </w:r>
          </w:p>
        </w:tc>
        <w:tc>
          <w:tcPr>
            <w:tcW w:w="4320" w:type="dxa"/>
            <w:shd w:val="clear" w:color="auto" w:fill="18453B"/>
            <w:tcMar>
              <w:top w:w="90" w:type="dxa"/>
              <w:left w:w="110" w:type="dxa"/>
              <w:bottom w:w="90" w:type="dxa"/>
              <w:right w:w="110" w:type="dxa"/>
            </w:tcMar>
            <w:vAlign w:val="center"/>
          </w:tcPr>
          <w:p w14:paraId="5CF7EE5A" w14:textId="77777777" w:rsidR="00EA4D9F" w:rsidRPr="00B91EE3" w:rsidRDefault="00E5040A">
            <w:pPr>
              <w:spacing w:after="0" w:line="240" w:lineRule="auto"/>
              <w:jc w:val="center"/>
              <w:rPr>
                <w:sz w:val="18"/>
                <w:szCs w:val="24"/>
              </w:rPr>
            </w:pPr>
            <w:r w:rsidRPr="00B91EE3">
              <w:rPr>
                <w:b/>
                <w:color w:val="FFFFFF"/>
                <w:sz w:val="18"/>
                <w:szCs w:val="24"/>
              </w:rPr>
              <w:t>Specialized academic determination</w:t>
            </w:r>
          </w:p>
        </w:tc>
        <w:tc>
          <w:tcPr>
            <w:tcW w:w="3038" w:type="dxa"/>
            <w:shd w:val="clear" w:color="auto" w:fill="18453B"/>
            <w:tcMar>
              <w:top w:w="90" w:type="dxa"/>
              <w:left w:w="110" w:type="dxa"/>
              <w:bottom w:w="90" w:type="dxa"/>
              <w:right w:w="110" w:type="dxa"/>
            </w:tcMar>
            <w:vAlign w:val="center"/>
          </w:tcPr>
          <w:p w14:paraId="2E7FE364" w14:textId="77777777" w:rsidR="00EA4D9F" w:rsidRPr="00B91EE3" w:rsidRDefault="00E5040A">
            <w:pPr>
              <w:spacing w:after="0" w:line="240" w:lineRule="auto"/>
              <w:jc w:val="center"/>
              <w:rPr>
                <w:sz w:val="18"/>
                <w:szCs w:val="24"/>
              </w:rPr>
            </w:pPr>
            <w:r w:rsidRPr="00B91EE3">
              <w:rPr>
                <w:b/>
                <w:color w:val="FFFFFF"/>
                <w:sz w:val="18"/>
                <w:szCs w:val="24"/>
              </w:rPr>
              <w:t>UCC authority retained</w:t>
            </w:r>
          </w:p>
        </w:tc>
      </w:tr>
      <w:tr w:rsidR="00EA4D9F" w14:paraId="53D4A24D" w14:textId="77777777">
        <w:trPr>
          <w:jc w:val="center"/>
        </w:trPr>
        <w:tc>
          <w:tcPr>
            <w:tcW w:w="2059" w:type="dxa"/>
            <w:tcMar>
              <w:top w:w="55" w:type="dxa"/>
              <w:left w:w="90" w:type="dxa"/>
              <w:bottom w:w="55" w:type="dxa"/>
              <w:right w:w="90" w:type="dxa"/>
            </w:tcMar>
            <w:vAlign w:val="center"/>
          </w:tcPr>
          <w:p w14:paraId="5B487217" w14:textId="77777777" w:rsidR="00EA4D9F" w:rsidRPr="00B91EE3" w:rsidRDefault="00E5040A">
            <w:pPr>
              <w:spacing w:after="0" w:line="240" w:lineRule="auto"/>
              <w:rPr>
                <w:sz w:val="18"/>
                <w:szCs w:val="24"/>
              </w:rPr>
            </w:pPr>
            <w:r w:rsidRPr="00B91EE3">
              <w:rPr>
                <w:b/>
                <w:color w:val="303030"/>
                <w:sz w:val="18"/>
                <w:szCs w:val="24"/>
              </w:rPr>
              <w:t>TEC</w:t>
            </w:r>
          </w:p>
        </w:tc>
        <w:tc>
          <w:tcPr>
            <w:tcW w:w="4320" w:type="dxa"/>
            <w:tcMar>
              <w:top w:w="55" w:type="dxa"/>
              <w:left w:w="90" w:type="dxa"/>
              <w:bottom w:w="55" w:type="dxa"/>
              <w:right w:w="90" w:type="dxa"/>
            </w:tcMar>
            <w:vAlign w:val="center"/>
          </w:tcPr>
          <w:p w14:paraId="054DD020" w14:textId="77777777" w:rsidR="00EA4D9F" w:rsidRPr="00B91EE3" w:rsidRDefault="00E5040A">
            <w:pPr>
              <w:spacing w:after="0" w:line="240" w:lineRule="auto"/>
              <w:rPr>
                <w:sz w:val="18"/>
                <w:szCs w:val="24"/>
              </w:rPr>
            </w:pPr>
            <w:r w:rsidRPr="00B91EE3">
              <w:rPr>
                <w:color w:val="303030"/>
                <w:sz w:val="18"/>
                <w:szCs w:val="24"/>
              </w:rPr>
              <w:t>Whether programs meet teacher-certification requirements</w:t>
            </w:r>
          </w:p>
        </w:tc>
        <w:tc>
          <w:tcPr>
            <w:tcW w:w="3038" w:type="dxa"/>
            <w:tcMar>
              <w:top w:w="55" w:type="dxa"/>
              <w:left w:w="90" w:type="dxa"/>
              <w:bottom w:w="55" w:type="dxa"/>
              <w:right w:w="90" w:type="dxa"/>
            </w:tcMar>
            <w:vAlign w:val="center"/>
          </w:tcPr>
          <w:p w14:paraId="15360118" w14:textId="77777777" w:rsidR="00EA4D9F" w:rsidRPr="00B91EE3" w:rsidRDefault="00E5040A">
            <w:pPr>
              <w:spacing w:after="0" w:line="240" w:lineRule="auto"/>
              <w:rPr>
                <w:sz w:val="18"/>
                <w:szCs w:val="24"/>
              </w:rPr>
            </w:pPr>
            <w:r w:rsidRPr="00B91EE3">
              <w:rPr>
                <w:color w:val="303030"/>
                <w:sz w:val="18"/>
                <w:szCs w:val="24"/>
              </w:rPr>
              <w:t>Formal approval of curricular actions</w:t>
            </w:r>
          </w:p>
        </w:tc>
      </w:tr>
      <w:tr w:rsidR="00EA4D9F" w14:paraId="2E782892" w14:textId="77777777">
        <w:trPr>
          <w:jc w:val="center"/>
        </w:trPr>
        <w:tc>
          <w:tcPr>
            <w:tcW w:w="2059" w:type="dxa"/>
            <w:shd w:val="clear" w:color="auto" w:fill="F4F7F5"/>
            <w:tcMar>
              <w:top w:w="55" w:type="dxa"/>
              <w:left w:w="90" w:type="dxa"/>
              <w:bottom w:w="55" w:type="dxa"/>
              <w:right w:w="90" w:type="dxa"/>
            </w:tcMar>
            <w:vAlign w:val="center"/>
          </w:tcPr>
          <w:p w14:paraId="1F6340BC" w14:textId="77777777" w:rsidR="00EA4D9F" w:rsidRPr="00B91EE3" w:rsidRDefault="00E5040A">
            <w:pPr>
              <w:spacing w:after="0" w:line="240" w:lineRule="auto"/>
              <w:rPr>
                <w:sz w:val="18"/>
                <w:szCs w:val="24"/>
              </w:rPr>
            </w:pPr>
            <w:r w:rsidRPr="00B91EE3">
              <w:rPr>
                <w:b/>
                <w:color w:val="303030"/>
                <w:sz w:val="18"/>
                <w:szCs w:val="24"/>
              </w:rPr>
              <w:t>General Education committee</w:t>
            </w:r>
          </w:p>
        </w:tc>
        <w:tc>
          <w:tcPr>
            <w:tcW w:w="4320" w:type="dxa"/>
            <w:shd w:val="clear" w:color="auto" w:fill="F4F7F5"/>
            <w:tcMar>
              <w:top w:w="55" w:type="dxa"/>
              <w:left w:w="90" w:type="dxa"/>
              <w:bottom w:w="55" w:type="dxa"/>
              <w:right w:w="90" w:type="dxa"/>
            </w:tcMar>
            <w:vAlign w:val="center"/>
          </w:tcPr>
          <w:p w14:paraId="3DB74131" w14:textId="77777777" w:rsidR="00EA4D9F" w:rsidRPr="00B91EE3" w:rsidRDefault="00E5040A">
            <w:pPr>
              <w:spacing w:after="0" w:line="240" w:lineRule="auto"/>
              <w:rPr>
                <w:sz w:val="18"/>
                <w:szCs w:val="24"/>
              </w:rPr>
            </w:pPr>
            <w:r w:rsidRPr="00B91EE3">
              <w:rPr>
                <w:color w:val="303030"/>
                <w:sz w:val="18"/>
                <w:szCs w:val="24"/>
              </w:rPr>
              <w:t>Whether courses meet General Education standards and outcomes</w:t>
            </w:r>
          </w:p>
        </w:tc>
        <w:tc>
          <w:tcPr>
            <w:tcW w:w="3038" w:type="dxa"/>
            <w:shd w:val="clear" w:color="auto" w:fill="F4F7F5"/>
            <w:tcMar>
              <w:top w:w="55" w:type="dxa"/>
              <w:left w:w="90" w:type="dxa"/>
              <w:bottom w:w="55" w:type="dxa"/>
              <w:right w:w="90" w:type="dxa"/>
            </w:tcMar>
            <w:vAlign w:val="center"/>
          </w:tcPr>
          <w:p w14:paraId="3A4CC6EC" w14:textId="147E7A3B" w:rsidR="00EA4D9F" w:rsidRPr="00B91EE3" w:rsidRDefault="00E5040A">
            <w:pPr>
              <w:spacing w:after="0" w:line="240" w:lineRule="auto"/>
              <w:rPr>
                <w:sz w:val="18"/>
                <w:szCs w:val="24"/>
              </w:rPr>
            </w:pPr>
            <w:r w:rsidRPr="00B91EE3">
              <w:rPr>
                <w:color w:val="303030"/>
                <w:sz w:val="18"/>
                <w:szCs w:val="24"/>
              </w:rPr>
              <w:t>Formal approval of courses</w:t>
            </w:r>
            <w:r w:rsidR="00C266A5">
              <w:rPr>
                <w:color w:val="303030"/>
                <w:sz w:val="18"/>
                <w:szCs w:val="24"/>
              </w:rPr>
              <w:t xml:space="preserve"> for inclusion in the program</w:t>
            </w:r>
            <w:r w:rsidRPr="00B91EE3">
              <w:rPr>
                <w:color w:val="303030"/>
                <w:sz w:val="18"/>
                <w:szCs w:val="24"/>
              </w:rPr>
              <w:t xml:space="preserve"> and curricular actions</w:t>
            </w:r>
          </w:p>
        </w:tc>
      </w:tr>
    </w:tbl>
    <w:p w14:paraId="68123A6A" w14:textId="77777777" w:rsidR="005D4D03" w:rsidRDefault="005D4D03">
      <w:pPr>
        <w:spacing w:after="46" w:line="240" w:lineRule="auto"/>
        <w:rPr>
          <w:color w:val="303030"/>
          <w:sz w:val="19"/>
        </w:rPr>
      </w:pPr>
    </w:p>
    <w:p w14:paraId="405CACFE" w14:textId="78BB17B3" w:rsidR="005D4D03" w:rsidRDefault="00E5040A" w:rsidP="003717E5">
      <w:pPr>
        <w:spacing w:after="46" w:line="240" w:lineRule="auto"/>
        <w:rPr>
          <w:color w:val="303030"/>
          <w:sz w:val="20"/>
          <w:szCs w:val="24"/>
        </w:rPr>
      </w:pPr>
      <w:r w:rsidRPr="005D4D03">
        <w:rPr>
          <w:color w:val="303030"/>
          <w:sz w:val="20"/>
          <w:szCs w:val="24"/>
        </w:rPr>
        <w:t xml:space="preserve">The analogy is functional. TEC is a </w:t>
      </w:r>
      <w:r w:rsidR="00C567B7">
        <w:rPr>
          <w:color w:val="303030"/>
          <w:sz w:val="20"/>
          <w:szCs w:val="24"/>
        </w:rPr>
        <w:t>cross-</w:t>
      </w:r>
      <w:r w:rsidRPr="005D4D03">
        <w:rPr>
          <w:color w:val="303030"/>
          <w:sz w:val="20"/>
          <w:szCs w:val="24"/>
        </w:rPr>
        <w:t>college committee whose responsibilities extend across teacher-preparation programs. Because General Education is a university-wide curriculum shared by the faculty collectively, its committee should have separate university-level standing rather than be housed in one college or established as a subcommittee of UCC or UCUE. UCC would retain formal curricular approval; UCUE would retain undergraduate program review and broader undergraduate policy. Overlapping matters should move through coordinated referral</w:t>
      </w:r>
      <w:r w:rsidRPr="005D4D03">
        <w:rPr>
          <w:color w:val="303030"/>
          <w:sz w:val="20"/>
          <w:szCs w:val="24"/>
        </w:rPr>
        <w:t>s.</w:t>
      </w:r>
    </w:p>
    <w:p w14:paraId="38419CB2" w14:textId="77777777" w:rsidR="003717E5" w:rsidRPr="003717E5" w:rsidRDefault="003717E5" w:rsidP="003717E5">
      <w:pPr>
        <w:spacing w:after="46" w:line="240" w:lineRule="auto"/>
        <w:rPr>
          <w:color w:val="303030"/>
          <w:sz w:val="8"/>
          <w:szCs w:val="13"/>
        </w:rPr>
      </w:pPr>
    </w:p>
    <w:p w14:paraId="348AC778" w14:textId="0F344B8C" w:rsidR="00EA4D9F" w:rsidRDefault="00EA4D9F">
      <w:pPr>
        <w:spacing w:after="0" w:line="240" w:lineRule="auto"/>
      </w:pPr>
    </w:p>
    <w:sectPr w:rsidR="00EA4D9F" w:rsidSect="00034616">
      <w:headerReference w:type="even" r:id="rId8"/>
      <w:headerReference w:type="default" r:id="rId9"/>
      <w:footerReference w:type="even" r:id="rId10"/>
      <w:footerReference w:type="default" r:id="rId11"/>
      <w:headerReference w:type="first" r:id="rId12"/>
      <w:footerReference w:type="first" r:id="rId13"/>
      <w:pgSz w:w="12240" w:h="15840"/>
      <w:pgMar w:top="1037" w:right="1440" w:bottom="93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735C" w14:textId="77777777" w:rsidR="00E5040A" w:rsidRDefault="00E5040A">
      <w:pPr>
        <w:spacing w:after="0" w:line="240" w:lineRule="auto"/>
      </w:pPr>
      <w:r>
        <w:separator/>
      </w:r>
    </w:p>
  </w:endnote>
  <w:endnote w:type="continuationSeparator" w:id="0">
    <w:p w14:paraId="4C1C1FC4" w14:textId="77777777" w:rsidR="00E5040A" w:rsidRDefault="00E50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49C7F" w14:textId="77777777" w:rsidR="00E819B3" w:rsidRDefault="00E819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13AA" w14:textId="77777777" w:rsidR="005B0F1D" w:rsidRDefault="005B0F1D" w:rsidP="005B0F1D">
    <w:pPr>
      <w:pStyle w:val="Footer"/>
      <w:spacing w:line="252" w:lineRule="auto"/>
      <w:rPr>
        <w:color w:val="5B6366"/>
        <w:sz w:val="16"/>
      </w:rPr>
    </w:pPr>
  </w:p>
  <w:p w14:paraId="5F0B39C6" w14:textId="7F65986A" w:rsidR="00981EB7" w:rsidRDefault="00E5040A">
    <w:pPr>
      <w:pStyle w:val="Footer"/>
      <w:spacing w:line="252" w:lineRule="auto"/>
      <w:jc w:val="center"/>
      <w:rPr>
        <w:color w:val="5B6366"/>
        <w:sz w:val="16"/>
      </w:rPr>
    </w:pPr>
    <w:r>
      <w:rPr>
        <w:color w:val="5B6366"/>
        <w:sz w:val="16"/>
      </w:rPr>
      <w:t>Michigan State University  |  August 2026</w:t>
    </w:r>
  </w:p>
  <w:p w14:paraId="4C90E1FF" w14:textId="1A45254A" w:rsidR="005B0F1D" w:rsidRDefault="005B0F1D">
    <w:pPr>
      <w:pStyle w:val="Footer"/>
      <w:spacing w:line="252" w:lineRule="auto"/>
      <w:jc w:val="center"/>
    </w:pPr>
    <w:r>
      <w:rPr>
        <w:color w:val="5B6366"/>
        <w:sz w:val="16"/>
      </w:rPr>
      <w:t xml:space="preserve">AI tool used for formatting.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B0EF" w14:textId="77777777" w:rsidR="00E819B3" w:rsidRDefault="00E819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FF4C" w14:textId="77777777" w:rsidR="00E5040A" w:rsidRDefault="00E5040A">
      <w:pPr>
        <w:spacing w:after="0" w:line="240" w:lineRule="auto"/>
      </w:pPr>
      <w:r>
        <w:separator/>
      </w:r>
    </w:p>
  </w:footnote>
  <w:footnote w:type="continuationSeparator" w:id="0">
    <w:p w14:paraId="09FCADA8" w14:textId="77777777" w:rsidR="00E5040A" w:rsidRDefault="00E5040A">
      <w:pPr>
        <w:spacing w:after="0" w:line="240" w:lineRule="auto"/>
      </w:pPr>
      <w:r>
        <w:continuationSeparator/>
      </w:r>
    </w:p>
  </w:footnote>
  <w:footnote w:id="1">
    <w:p w14:paraId="743D5988" w14:textId="1C5AC9B9" w:rsidR="00744666" w:rsidRPr="00744666" w:rsidRDefault="00744666">
      <w:pPr>
        <w:pStyle w:val="FootnoteText"/>
        <w:rPr>
          <w:sz w:val="16"/>
          <w:szCs w:val="16"/>
        </w:rPr>
      </w:pPr>
      <w:r w:rsidRPr="00744666">
        <w:rPr>
          <w:rStyle w:val="FootnoteReference"/>
          <w:sz w:val="16"/>
          <w:szCs w:val="16"/>
        </w:rPr>
        <w:footnoteRef/>
      </w:r>
      <w:r w:rsidRPr="00744666">
        <w:rPr>
          <w:sz w:val="16"/>
          <w:szCs w:val="16"/>
        </w:rPr>
        <w:t xml:space="preserve"> College of Arts and Letters, College of Natural Science, College of Social Science, James Madison College, Lyman Briggs College, Honors College, and Undergraduate Education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E45EC" w14:textId="77777777" w:rsidR="00E819B3" w:rsidRDefault="00E819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BF8E8" w14:textId="75B6EC57" w:rsidR="00981EB7" w:rsidRDefault="00E5040A">
    <w:pPr>
      <w:pStyle w:val="Header"/>
      <w:spacing w:line="252" w:lineRule="auto"/>
      <w:jc w:val="right"/>
    </w:pPr>
    <w:r>
      <w:rPr>
        <w:b/>
        <w:color w:val="5B6366"/>
        <w:sz w:val="16"/>
      </w:rPr>
      <w:t xml:space="preserve">GENERAL EDUCATION  |  </w:t>
    </w:r>
    <w:r w:rsidR="00E819B3">
      <w:rPr>
        <w:b/>
        <w:color w:val="5B6366"/>
        <w:sz w:val="16"/>
      </w:rPr>
      <w:t xml:space="preserve">ACADEMIC </w:t>
    </w:r>
    <w:r>
      <w:rPr>
        <w:b/>
        <w:color w:val="5B6366"/>
        <w:sz w:val="16"/>
      </w:rPr>
      <w:t>GOVERNANCE BRIEF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137C" w14:textId="77777777" w:rsidR="00E819B3" w:rsidRDefault="00E819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C22834C0"/>
    <w:lvl w:ilvl="0">
      <w:start w:val="1"/>
      <w:numFmt w:val="bullet"/>
      <w:pStyle w:val="ListBullet"/>
      <w:lvlText w:val=""/>
      <w:lvlJc w:val="left"/>
      <w:pPr>
        <w:tabs>
          <w:tab w:val="num" w:pos="360"/>
        </w:tabs>
        <w:ind w:left="360" w:hanging="360"/>
      </w:pPr>
      <w:rPr>
        <w:rFonts w:ascii="Symbol" w:hAnsi="Symbol" w:hint="default"/>
      </w:rPr>
    </w:lvl>
  </w:abstractNum>
  <w:num w:numId="1" w16cid:durableId="1475097861">
    <w:abstractNumId w:val="8"/>
  </w:num>
  <w:num w:numId="2" w16cid:durableId="1388409728">
    <w:abstractNumId w:val="6"/>
  </w:num>
  <w:num w:numId="3" w16cid:durableId="1181352127">
    <w:abstractNumId w:val="5"/>
  </w:num>
  <w:num w:numId="4" w16cid:durableId="1631083120">
    <w:abstractNumId w:val="4"/>
  </w:num>
  <w:num w:numId="5" w16cid:durableId="522745345">
    <w:abstractNumId w:val="7"/>
  </w:num>
  <w:num w:numId="6" w16cid:durableId="1306163245">
    <w:abstractNumId w:val="3"/>
  </w:num>
  <w:num w:numId="7" w16cid:durableId="1695426218">
    <w:abstractNumId w:val="2"/>
  </w:num>
  <w:num w:numId="8" w16cid:durableId="559366013">
    <w:abstractNumId w:val="1"/>
  </w:num>
  <w:num w:numId="9" w16cid:durableId="40056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A3881"/>
    <w:rsid w:val="00326F90"/>
    <w:rsid w:val="003717E5"/>
    <w:rsid w:val="0042730A"/>
    <w:rsid w:val="00427395"/>
    <w:rsid w:val="00502C9C"/>
    <w:rsid w:val="00523651"/>
    <w:rsid w:val="00534AD8"/>
    <w:rsid w:val="00586865"/>
    <w:rsid w:val="005B0F1D"/>
    <w:rsid w:val="005D4D03"/>
    <w:rsid w:val="006700A2"/>
    <w:rsid w:val="006E55BB"/>
    <w:rsid w:val="00744666"/>
    <w:rsid w:val="007F1CB3"/>
    <w:rsid w:val="00822BF8"/>
    <w:rsid w:val="00834970"/>
    <w:rsid w:val="00863D12"/>
    <w:rsid w:val="00896678"/>
    <w:rsid w:val="00981EB7"/>
    <w:rsid w:val="00A6049D"/>
    <w:rsid w:val="00A66CC7"/>
    <w:rsid w:val="00AA1D8D"/>
    <w:rsid w:val="00AC7980"/>
    <w:rsid w:val="00B47730"/>
    <w:rsid w:val="00B91EE3"/>
    <w:rsid w:val="00BC14FF"/>
    <w:rsid w:val="00C01A9A"/>
    <w:rsid w:val="00C266A5"/>
    <w:rsid w:val="00C567B7"/>
    <w:rsid w:val="00CB0664"/>
    <w:rsid w:val="00E5040A"/>
    <w:rsid w:val="00E819B3"/>
    <w:rsid w:val="00EA4D9F"/>
    <w:rsid w:val="00FC693F"/>
    <w:rsid w:val="00FE66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2688CC"/>
  <w14:defaultImageDpi w14:val="300"/>
  <w15:docId w15:val="{497201CB-FC63-E645-AF5E-DC3C35DE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color w:val="2F3437"/>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B3B2E"/>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B3B2E"/>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B3B2E"/>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FootnoteText">
    <w:name w:val="footnote text"/>
    <w:basedOn w:val="Normal"/>
    <w:link w:val="FootnoteTextChar"/>
    <w:uiPriority w:val="99"/>
    <w:semiHidden/>
    <w:unhideWhenUsed/>
    <w:rsid w:val="007446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666"/>
    <w:rPr>
      <w:rFonts w:ascii="Arial" w:hAnsi="Arial"/>
      <w:color w:val="2F3437"/>
      <w:sz w:val="20"/>
      <w:szCs w:val="20"/>
    </w:rPr>
  </w:style>
  <w:style w:type="character" w:styleId="FootnoteReference">
    <w:name w:val="footnote reference"/>
    <w:basedOn w:val="DefaultParagraphFont"/>
    <w:uiPriority w:val="99"/>
    <w:semiHidden/>
    <w:unhideWhenUsed/>
    <w:rsid w:val="007446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902</Words>
  <Characters>5146</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Faculty Governance for General Education - UCAG Decision Brief</vt:lpstr>
    </vt:vector>
  </TitlesOfParts>
  <Manager/>
  <Company/>
  <LinksUpToDate>false</LinksUpToDate>
  <CharactersWithSpaces>6036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Governance for General Education - UCAG Decision Brief</dc:title>
  <dc:subject>Request to initiate development of a university-level faculty governance structure for General Education</dc:subject>
  <dc:creator>Stacia Moroski-Rigney</dc:creator>
  <cp:keywords>General Education, UCAG, UCUE, faculty governance, Spartan Impact Framework</cp:keywords>
  <dc:description>generated by python-docx</dc:description>
  <cp:lastModifiedBy>Reynolds, Nicholas</cp:lastModifiedBy>
  <cp:revision>2</cp:revision>
  <dcterms:created xsi:type="dcterms:W3CDTF">2026-08-31T13:45:00Z</dcterms:created>
  <dcterms:modified xsi:type="dcterms:W3CDTF">2026-08-31T13:45:00Z</dcterms:modified>
  <cp:category/>
</cp:coreProperties>
</file>