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3524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  <w:u w:val="single"/>
        </w:rPr>
        <w:t>Proposal: University Council Task Force on Artificial Intelligence (AI)</w:t>
      </w:r>
    </w:p>
    <w:p w14:paraId="551940FA" w14:textId="77777777" w:rsidR="006B243C" w:rsidRDefault="006B243C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AA51C86" w14:textId="067517A8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Rationale</w:t>
      </w:r>
    </w:p>
    <w:p w14:paraId="5F49EB85" w14:textId="759F2E95" w:rsidR="000504D3" w:rsidRPr="006B243C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Michigan State University has </w:t>
      </w:r>
      <w:r w:rsidRPr="006B243C">
        <w:rPr>
          <w:rFonts w:ascii="Times New Roman" w:hAnsi="Times New Roman" w:cs="Times New Roman"/>
          <w:sz w:val="22"/>
          <w:szCs w:val="22"/>
        </w:rPr>
        <w:t>taken a number of important steps related to</w:t>
      </w:r>
      <w:r w:rsidRPr="000504D3">
        <w:rPr>
          <w:rFonts w:ascii="Times New Roman" w:hAnsi="Times New Roman" w:cs="Times New Roman"/>
          <w:sz w:val="22"/>
          <w:szCs w:val="22"/>
        </w:rPr>
        <w:t xml:space="preserve"> artificial intelligence</w:t>
      </w:r>
      <w:r w:rsidRPr="006B243C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6B243C">
        <w:rPr>
          <w:rFonts w:ascii="Times New Roman" w:hAnsi="Times New Roman" w:cs="Times New Roman"/>
          <w:sz w:val="22"/>
          <w:szCs w:val="22"/>
        </w:rPr>
        <w:t>However</w:t>
      </w:r>
      <w:proofErr w:type="gramEnd"/>
      <w:r w:rsidRPr="006B243C">
        <w:rPr>
          <w:rFonts w:ascii="Times New Roman" w:hAnsi="Times New Roman" w:cs="Times New Roman"/>
          <w:sz w:val="22"/>
          <w:szCs w:val="22"/>
        </w:rPr>
        <w:t xml:space="preserve"> with the rapid influx and evolution of generative AI approaches over the past couple of years, the impact and potential impact across all areas of the university - including </w:t>
      </w:r>
      <w:r w:rsidRPr="000504D3">
        <w:rPr>
          <w:rFonts w:ascii="Times New Roman" w:hAnsi="Times New Roman" w:cs="Times New Roman"/>
          <w:sz w:val="22"/>
          <w:szCs w:val="22"/>
        </w:rPr>
        <w:t>teaching, research, and administration</w:t>
      </w:r>
      <w:r w:rsidRPr="006B243C">
        <w:rPr>
          <w:rFonts w:ascii="Times New Roman" w:hAnsi="Times New Roman" w:cs="Times New Roman"/>
          <w:sz w:val="22"/>
          <w:szCs w:val="22"/>
        </w:rPr>
        <w:t xml:space="preserve"> – are substantial</w:t>
      </w:r>
      <w:r w:rsidRPr="000504D3">
        <w:rPr>
          <w:rFonts w:ascii="Times New Roman" w:hAnsi="Times New Roman" w:cs="Times New Roman"/>
          <w:sz w:val="22"/>
          <w:szCs w:val="22"/>
        </w:rPr>
        <w:t xml:space="preserve">. </w:t>
      </w:r>
      <w:r w:rsidRPr="006B243C">
        <w:rPr>
          <w:rFonts w:ascii="Times New Roman" w:hAnsi="Times New Roman" w:cs="Times New Roman"/>
          <w:sz w:val="22"/>
          <w:szCs w:val="22"/>
        </w:rPr>
        <w:t xml:space="preserve"> </w:t>
      </w:r>
      <w:r w:rsidRPr="000504D3">
        <w:rPr>
          <w:rFonts w:ascii="Times New Roman" w:hAnsi="Times New Roman" w:cs="Times New Roman"/>
          <w:sz w:val="22"/>
          <w:szCs w:val="22"/>
        </w:rPr>
        <w:t xml:space="preserve">While </w:t>
      </w:r>
      <w:r w:rsidRPr="006B243C">
        <w:rPr>
          <w:rFonts w:ascii="Times New Roman" w:hAnsi="Times New Roman" w:cs="Times New Roman"/>
          <w:sz w:val="22"/>
          <w:szCs w:val="22"/>
        </w:rPr>
        <w:t>MSU efforts to date have</w:t>
      </w:r>
      <w:r w:rsidRPr="000504D3">
        <w:rPr>
          <w:rFonts w:ascii="Times New Roman" w:hAnsi="Times New Roman" w:cs="Times New Roman"/>
          <w:sz w:val="22"/>
          <w:szCs w:val="22"/>
        </w:rPr>
        <w:t xml:space="preserve"> generated insight, </w:t>
      </w:r>
      <w:r w:rsidR="00B23E7F" w:rsidRPr="006B243C">
        <w:rPr>
          <w:rFonts w:ascii="Times New Roman" w:hAnsi="Times New Roman" w:cs="Times New Roman"/>
          <w:sz w:val="22"/>
          <w:szCs w:val="22"/>
        </w:rPr>
        <w:t xml:space="preserve">a mechanism for greater communication and coordination across the university is needed.  </w:t>
      </w:r>
    </w:p>
    <w:p w14:paraId="68D344A2" w14:textId="77777777" w:rsidR="00B23E7F" w:rsidRPr="000504D3" w:rsidRDefault="00B23E7F" w:rsidP="000504D3">
      <w:pPr>
        <w:rPr>
          <w:rFonts w:ascii="Times New Roman" w:hAnsi="Times New Roman" w:cs="Times New Roman"/>
          <w:sz w:val="22"/>
          <w:szCs w:val="22"/>
        </w:rPr>
      </w:pPr>
    </w:p>
    <w:p w14:paraId="31DD3ED5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0915D8C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190E93" w14:textId="35030FCA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The University Council Task Force on Artificial Intelligence (AI) is </w:t>
      </w:r>
      <w:r w:rsidRPr="006B243C">
        <w:rPr>
          <w:rFonts w:ascii="Times New Roman" w:hAnsi="Times New Roman" w:cs="Times New Roman"/>
          <w:sz w:val="22"/>
          <w:szCs w:val="22"/>
        </w:rPr>
        <w:t>proposed</w:t>
      </w:r>
      <w:r w:rsidRPr="00FC5B86">
        <w:rPr>
          <w:rFonts w:ascii="Times New Roman" w:hAnsi="Times New Roman" w:cs="Times New Roman"/>
          <w:sz w:val="22"/>
          <w:szCs w:val="22"/>
        </w:rPr>
        <w:t xml:space="preserve"> to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provide university-wide visibility and coordination of AI-related activity across all units</w:t>
      </w:r>
      <w:r w:rsidRPr="00FC5B86">
        <w:rPr>
          <w:rFonts w:ascii="Times New Roman" w:hAnsi="Times New Roman" w:cs="Times New Roman"/>
          <w:sz w:val="22"/>
          <w:szCs w:val="22"/>
        </w:rPr>
        <w:t>, while evaluating whether a permanent governance structure is needed. Its purpose is to:</w:t>
      </w:r>
    </w:p>
    <w:p w14:paraId="0650EE8E" w14:textId="1C8FEB92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Make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AI initiatives, challenges, needs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>, and opportunities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 xml:space="preserve"> visible</w:t>
      </w:r>
      <w:r w:rsidRPr="00FC5B86">
        <w:rPr>
          <w:rFonts w:ascii="Times New Roman" w:hAnsi="Times New Roman" w:cs="Times New Roman"/>
          <w:sz w:val="22"/>
          <w:szCs w:val="22"/>
        </w:rPr>
        <w:t xml:space="preserve"> across academic and administrative units;</w:t>
      </w:r>
    </w:p>
    <w:p w14:paraId="69DC6632" w14:textId="77777777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Serve as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central forum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cross-unit communication to reduce duplication and fragmentation;</w:t>
      </w:r>
    </w:p>
    <w:p w14:paraId="4749773D" w14:textId="2E13122C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Identify </w:t>
      </w:r>
      <w:r w:rsidRPr="006B243C">
        <w:rPr>
          <w:rFonts w:ascii="Times New Roman" w:hAnsi="Times New Roman" w:cs="Times New Roman"/>
          <w:sz w:val="22"/>
          <w:szCs w:val="22"/>
        </w:rPr>
        <w:t>opportunities</w:t>
      </w:r>
      <w:r w:rsidRPr="00FC5B86">
        <w:rPr>
          <w:rFonts w:ascii="Times New Roman" w:hAnsi="Times New Roman" w:cs="Times New Roman"/>
          <w:sz w:val="22"/>
          <w:szCs w:val="22"/>
        </w:rPr>
        <w:t xml:space="preserve"> </w:t>
      </w:r>
      <w:r w:rsidRPr="006B243C">
        <w:rPr>
          <w:rFonts w:ascii="Times New Roman" w:hAnsi="Times New Roman" w:cs="Times New Roman"/>
          <w:sz w:val="22"/>
          <w:szCs w:val="22"/>
        </w:rPr>
        <w:t>for</w:t>
      </w:r>
      <w:r w:rsidRPr="00FC5B86">
        <w:rPr>
          <w:rFonts w:ascii="Times New Roman" w:hAnsi="Times New Roman" w:cs="Times New Roman"/>
          <w:sz w:val="22"/>
          <w:szCs w:val="22"/>
        </w:rPr>
        <w:t xml:space="preserve">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alignment or institutional action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6870284A" w14:textId="77777777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Support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ethical, equitable, and responsible AI use</w:t>
      </w:r>
      <w:r w:rsidRPr="00FC5B86">
        <w:rPr>
          <w:rFonts w:ascii="Times New Roman" w:hAnsi="Times New Roman" w:cs="Times New Roman"/>
          <w:sz w:val="22"/>
          <w:szCs w:val="22"/>
        </w:rPr>
        <w:t xml:space="preserve"> in teaching, research, and operations;</w:t>
      </w:r>
    </w:p>
    <w:p w14:paraId="31C68383" w14:textId="77777777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Assess whether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standing University AI Committee</w:t>
      </w:r>
      <w:r w:rsidRPr="00FC5B86">
        <w:rPr>
          <w:rFonts w:ascii="Times New Roman" w:hAnsi="Times New Roman" w:cs="Times New Roman"/>
          <w:sz w:val="22"/>
          <w:szCs w:val="22"/>
        </w:rPr>
        <w:t xml:space="preserve"> is necessary for ongoing oversight and coordination.</w:t>
      </w:r>
    </w:p>
    <w:p w14:paraId="27B01042" w14:textId="68A9A9B4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The Task Force focuses</w:t>
      </w:r>
      <w:r w:rsidRPr="006B243C">
        <w:rPr>
          <w:rFonts w:ascii="Times New Roman" w:hAnsi="Times New Roman" w:cs="Times New Roman"/>
          <w:sz w:val="22"/>
          <w:szCs w:val="22"/>
        </w:rPr>
        <w:t xml:space="preserve"> on 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 xml:space="preserve">coordination, communication, </w:t>
      </w:r>
      <w:r w:rsidRPr="006B243C">
        <w:rPr>
          <w:rFonts w:ascii="Times New Roman" w:hAnsi="Times New Roman" w:cs="Times New Roman"/>
          <w:sz w:val="22"/>
          <w:szCs w:val="22"/>
        </w:rPr>
        <w:t>and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 xml:space="preserve"> visibility.</w:t>
      </w:r>
    </w:p>
    <w:p w14:paraId="0E629971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62948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78FA0E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Charge</w:t>
      </w:r>
    </w:p>
    <w:p w14:paraId="111DC767" w14:textId="77777777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The Task Force will perform the following functions, in priority order:</w:t>
      </w:r>
    </w:p>
    <w:p w14:paraId="3E776581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1. Visibility &amp; Coordination (Primary)</w:t>
      </w:r>
    </w:p>
    <w:p w14:paraId="057DCA5A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Map AI-related activity across all units, including teaching, research, administrative operations, and student support;</w:t>
      </w:r>
    </w:p>
    <w:p w14:paraId="45C892EC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Facilitate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cross-unit communication</w:t>
      </w:r>
      <w:r w:rsidRPr="00FC5B86">
        <w:rPr>
          <w:rFonts w:ascii="Times New Roman" w:hAnsi="Times New Roman" w:cs="Times New Roman"/>
          <w:sz w:val="22"/>
          <w:szCs w:val="22"/>
        </w:rPr>
        <w:t xml:space="preserve"> to share lessons, challenges, and ongoing work;</w:t>
      </w:r>
    </w:p>
    <w:p w14:paraId="3AB9325D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Reduce duplication and conflicting practices by creating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shared understanding</w:t>
      </w:r>
      <w:r w:rsidRPr="00FC5B86">
        <w:rPr>
          <w:rFonts w:ascii="Times New Roman" w:hAnsi="Times New Roman" w:cs="Times New Roman"/>
          <w:sz w:val="22"/>
          <w:szCs w:val="22"/>
        </w:rPr>
        <w:t xml:space="preserve"> of AI activity;</w:t>
      </w:r>
    </w:p>
    <w:p w14:paraId="6DCDF053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Provide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single point of reference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leadership, faculty, and staff regarding AI engagement.</w:t>
      </w:r>
    </w:p>
    <w:p w14:paraId="1089987E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2. Triage &amp; Escalation (Secondary)</w:t>
      </w:r>
    </w:p>
    <w:p w14:paraId="09ABC250" w14:textId="77777777" w:rsidR="00B23E7F" w:rsidRPr="00FC5B86" w:rsidRDefault="00B23E7F" w:rsidP="00B23E7F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Identify issues that require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institutional alignment, governance, or policy intervention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1D4A34CE" w14:textId="4748FAF3" w:rsidR="00B23E7F" w:rsidRPr="00FC5B86" w:rsidRDefault="00B23E7F" w:rsidP="00B23E7F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Route these issues to the appropriate bodies (University Council, Provost, </w:t>
      </w:r>
      <w:r w:rsidRPr="006B243C">
        <w:rPr>
          <w:rFonts w:ascii="Times New Roman" w:hAnsi="Times New Roman" w:cs="Times New Roman"/>
          <w:sz w:val="22"/>
          <w:szCs w:val="22"/>
        </w:rPr>
        <w:t xml:space="preserve">CIO, </w:t>
      </w:r>
      <w:r w:rsidRPr="00FC5B86">
        <w:rPr>
          <w:rFonts w:ascii="Times New Roman" w:hAnsi="Times New Roman" w:cs="Times New Roman"/>
          <w:sz w:val="22"/>
          <w:szCs w:val="22"/>
        </w:rPr>
        <w:t>compliance, etc.) for action.</w:t>
      </w:r>
    </w:p>
    <w:p w14:paraId="42D89016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3. Targeted Action (Optional / Tertiary)</w:t>
      </w:r>
    </w:p>
    <w:p w14:paraId="091C8040" w14:textId="77777777" w:rsidR="00B23E7F" w:rsidRPr="00FC5B86" w:rsidRDefault="00B23E7F" w:rsidP="00B23E7F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When urgent cross-unit issues cannot be resolved elsewhere, recommend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short-term guidance or pilot solutions</w:t>
      </w:r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2570CC14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4. Assessment of Ongoing Governance</w:t>
      </w:r>
    </w:p>
    <w:p w14:paraId="7351D0E9" w14:textId="77777777" w:rsidR="00B23E7F" w:rsidRPr="00FC5B86" w:rsidRDefault="00B23E7F" w:rsidP="00B23E7F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Evaluate whether MSU requires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standing University AI Committee</w:t>
      </w:r>
      <w:r w:rsidRPr="00FC5B86">
        <w:rPr>
          <w:rFonts w:ascii="Times New Roman" w:hAnsi="Times New Roman" w:cs="Times New Roman"/>
          <w:sz w:val="22"/>
          <w:szCs w:val="22"/>
        </w:rPr>
        <w:t xml:space="preserve"> to provide permanent visibility, coordination, and oversight;</w:t>
      </w:r>
    </w:p>
    <w:p w14:paraId="24C87CF2" w14:textId="77777777" w:rsidR="00B23E7F" w:rsidRPr="00FC5B86" w:rsidRDefault="00B23E7F" w:rsidP="00B23E7F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If needed, provide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concise recommendation</w:t>
      </w:r>
      <w:r w:rsidRPr="00FC5B86">
        <w:rPr>
          <w:rFonts w:ascii="Times New Roman" w:hAnsi="Times New Roman" w:cs="Times New Roman"/>
          <w:sz w:val="22"/>
          <w:szCs w:val="22"/>
        </w:rPr>
        <w:t xml:space="preserve"> on the committee’s scope, membership, and authority.</w:t>
      </w:r>
    </w:p>
    <w:p w14:paraId="3A6E24F5" w14:textId="77777777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Emphasis remains on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visibility and coordination</w:t>
      </w:r>
      <w:r w:rsidRPr="00FC5B86">
        <w:rPr>
          <w:rFonts w:ascii="Times New Roman" w:hAnsi="Times New Roman" w:cs="Times New Roman"/>
          <w:sz w:val="22"/>
          <w:szCs w:val="22"/>
        </w:rPr>
        <w:t>, with other functions supporting this core mission.</w:t>
      </w:r>
    </w:p>
    <w:p w14:paraId="672BA023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18BEA83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CECD4C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Deliverables</w:t>
      </w:r>
    </w:p>
    <w:p w14:paraId="7AA6BD6A" w14:textId="3D3A050A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Living inventory of AI activity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 xml:space="preserve"> and needs</w:t>
      </w:r>
      <w:r w:rsidRPr="00FC5B86">
        <w:rPr>
          <w:rFonts w:ascii="Times New Roman" w:hAnsi="Times New Roman" w:cs="Times New Roman"/>
          <w:sz w:val="22"/>
          <w:szCs w:val="22"/>
        </w:rPr>
        <w:t xml:space="preserve"> across the university;</w:t>
      </w:r>
    </w:p>
    <w:p w14:paraId="69BD7F6B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Regular summaries of cross-unit trends and challenges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leadership awareness;</w:t>
      </w:r>
    </w:p>
    <w:p w14:paraId="25CE2C13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Issue briefs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high-priority cross-unit issues requiring escalation;</w:t>
      </w:r>
    </w:p>
    <w:p w14:paraId="717DA692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Short guidance or pilot recommendations</w:t>
      </w:r>
      <w:r w:rsidRPr="00FC5B86">
        <w:rPr>
          <w:rFonts w:ascii="Times New Roman" w:hAnsi="Times New Roman" w:cs="Times New Roman"/>
          <w:sz w:val="22"/>
          <w:szCs w:val="22"/>
        </w:rPr>
        <w:t>, only when needed;</w:t>
      </w:r>
    </w:p>
    <w:p w14:paraId="7C6C2ECA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Recommendation regarding the need for a standing University AI Committee</w:t>
      </w:r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5D4BF00B" w14:textId="77777777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Written outputs should be concise (generally no more than two pages per issue) and </w:t>
      </w:r>
      <w:proofErr w:type="gramStart"/>
      <w:r w:rsidRPr="00FC5B86">
        <w:rPr>
          <w:rFonts w:ascii="Times New Roman" w:hAnsi="Times New Roman" w:cs="Times New Roman"/>
          <w:b/>
          <w:bCs/>
          <w:sz w:val="22"/>
          <w:szCs w:val="22"/>
        </w:rPr>
        <w:t>action-oriented</w:t>
      </w:r>
      <w:proofErr w:type="gramEnd"/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66FC35D4" w14:textId="4BB71C8B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lastRenderedPageBreak/>
        <w:t>.</w:t>
      </w:r>
    </w:p>
    <w:p w14:paraId="35F56DFC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31C3567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3891A84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Composition</w:t>
      </w:r>
    </w:p>
    <w:p w14:paraId="5DCAF5BF" w14:textId="1075D038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The Task Force will consist of </w:t>
      </w:r>
      <w:r w:rsidR="008976C5">
        <w:rPr>
          <w:rFonts w:ascii="Times New Roman" w:hAnsi="Times New Roman" w:cs="Times New Roman"/>
          <w:b/>
          <w:bCs/>
          <w:sz w:val="22"/>
          <w:szCs w:val="22"/>
        </w:rPr>
        <w:t>~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20 members</w:t>
      </w:r>
      <w:r w:rsidRPr="000504D3">
        <w:rPr>
          <w:rFonts w:ascii="Times New Roman" w:hAnsi="Times New Roman" w:cs="Times New Roman"/>
          <w:sz w:val="22"/>
          <w:szCs w:val="22"/>
        </w:rPr>
        <w:t>, ensuring broad representation while remaining workable.</w:t>
      </w:r>
    </w:p>
    <w:p w14:paraId="4E427847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Membership will include:</w:t>
      </w:r>
    </w:p>
    <w:p w14:paraId="670D181A" w14:textId="097187D1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Faculty (</w:t>
      </w:r>
      <w:r w:rsidR="002C075B">
        <w:rPr>
          <w:rFonts w:ascii="Times New Roman" w:hAnsi="Times New Roman" w:cs="Times New Roman"/>
          <w:b/>
          <w:bCs/>
          <w:sz w:val="22"/>
          <w:szCs w:val="22"/>
        </w:rPr>
        <w:t>7-8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 xml:space="preserve">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from a range of disciplines, appointed through University Council or Faculty Senate processes</w:t>
      </w:r>
    </w:p>
    <w:p w14:paraId="7C629541" w14:textId="6374028A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Academic staff (</w:t>
      </w:r>
      <w:r w:rsidR="008976C5">
        <w:rPr>
          <w:rFonts w:ascii="Times New Roman" w:hAnsi="Times New Roman" w:cs="Times New Roman"/>
          <w:b/>
          <w:bCs/>
          <w:sz w:val="22"/>
          <w:szCs w:val="22"/>
        </w:rPr>
        <w:t>7-8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 xml:space="preserve">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with expertise in instructional support, libraries, research support, information technology</w:t>
      </w:r>
    </w:p>
    <w:p w14:paraId="6D04C975" w14:textId="47B15815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Administrative representatives (2–3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from relevant offices (e.g., Provost, Research, IT, Compliance)</w:t>
      </w:r>
    </w:p>
    <w:p w14:paraId="6BB18E74" w14:textId="77777777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Students (2–3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representing undergraduate and graduate/professional perspectives</w:t>
      </w:r>
    </w:p>
    <w:p w14:paraId="15B2E936" w14:textId="4D3D4795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Members will be selected to ensure diversity of expertise, perspectives, and campus roles.</w:t>
      </w:r>
      <w:r w:rsidR="008976C5">
        <w:rPr>
          <w:rFonts w:ascii="Times New Roman" w:hAnsi="Times New Roman" w:cs="Times New Roman"/>
          <w:sz w:val="22"/>
          <w:szCs w:val="22"/>
        </w:rPr>
        <w:t xml:space="preserve">  </w:t>
      </w:r>
      <w:r w:rsidR="008976C5" w:rsidRPr="00FC5B86">
        <w:rPr>
          <w:rFonts w:ascii="Times New Roman" w:hAnsi="Times New Roman" w:cs="Times New Roman"/>
          <w:sz w:val="22"/>
          <w:szCs w:val="22"/>
        </w:rPr>
        <w:t xml:space="preserve">Members serve as 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>connectors</w:t>
      </w:r>
      <w:r w:rsidR="008976C5" w:rsidRPr="00FC5B86">
        <w:rPr>
          <w:rFonts w:ascii="Times New Roman" w:hAnsi="Times New Roman" w:cs="Times New Roman"/>
          <w:sz w:val="22"/>
          <w:szCs w:val="22"/>
        </w:rPr>
        <w:t>, bringing AI issues from their units and relaying Task Force guidance back.</w:t>
      </w:r>
    </w:p>
    <w:p w14:paraId="0BA973D8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DDA0BE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ECDD3EC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Leadership and Support</w:t>
      </w:r>
    </w:p>
    <w:p w14:paraId="3947F640" w14:textId="21040420" w:rsidR="000504D3" w:rsidRPr="000504D3" w:rsidRDefault="000504D3" w:rsidP="000504D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The Task Force will be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co-chaired by one faculty member</w:t>
      </w:r>
      <w:r w:rsidR="008976C5">
        <w:rPr>
          <w:rFonts w:ascii="Times New Roman" w:hAnsi="Times New Roman" w:cs="Times New Roman"/>
          <w:b/>
          <w:bCs/>
          <w:sz w:val="22"/>
          <w:szCs w:val="22"/>
        </w:rPr>
        <w:t>, one academic staff member,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 xml:space="preserve"> and one administrator</w:t>
      </w:r>
      <w:r w:rsidRPr="000504D3">
        <w:rPr>
          <w:rFonts w:ascii="Times New Roman" w:hAnsi="Times New Roman" w:cs="Times New Roman"/>
          <w:sz w:val="22"/>
          <w:szCs w:val="22"/>
        </w:rPr>
        <w:t>, appointed by University Council in consultation with the Provost.</w:t>
      </w:r>
      <w:r w:rsidR="008976C5">
        <w:rPr>
          <w:rFonts w:ascii="Times New Roman" w:hAnsi="Times New Roman" w:cs="Times New Roman"/>
          <w:sz w:val="22"/>
          <w:szCs w:val="22"/>
        </w:rPr>
        <w:t xml:space="preserve"> All should have significant expertise/experience in AI.</w:t>
      </w:r>
    </w:p>
    <w:p w14:paraId="18BED649" w14:textId="77777777" w:rsidR="000504D3" w:rsidRPr="000504D3" w:rsidRDefault="000504D3" w:rsidP="000504D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Administrative and logistical support will be provided by the Provost’s Office or University Council.</w:t>
      </w:r>
    </w:p>
    <w:p w14:paraId="6C2F6A9C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1072E2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6F80D3" w14:textId="77777777" w:rsidR="008976C5" w:rsidRDefault="008976C5" w:rsidP="008976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Task Force Duration and Governance</w:t>
      </w:r>
    </w:p>
    <w:p w14:paraId="3A4555B5" w14:textId="10F5C517" w:rsidR="000A2617" w:rsidRPr="00FC5B86" w:rsidRDefault="000A2617" w:rsidP="008976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To ensure effectiveness, the Task Force will:</w:t>
      </w:r>
    </w:p>
    <w:p w14:paraId="4AADFBA3" w14:textId="2F0E8534" w:rsidR="008976C5" w:rsidRPr="00FC5B86" w:rsidRDefault="000A2617" w:rsidP="008976C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Work under a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clear, time-limited charge</w:t>
      </w:r>
      <w:r w:rsidRPr="000504D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of </w:t>
      </w:r>
      <w:r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 xml:space="preserve"> months</w:t>
      </w:r>
      <w:r w:rsidR="008976C5" w:rsidRPr="00FC5B86">
        <w:rPr>
          <w:rFonts w:ascii="Times New Roman" w:hAnsi="Times New Roman" w:cs="Times New Roman"/>
          <w:sz w:val="22"/>
          <w:szCs w:val="22"/>
        </w:rPr>
        <w:t>;</w:t>
      </w:r>
    </w:p>
    <w:p w14:paraId="0F9B8604" w14:textId="4A2574C3" w:rsidR="008976C5" w:rsidRDefault="000A2617" w:rsidP="008976C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>isband upon completion</w:t>
      </w:r>
      <w:r w:rsidR="008976C5" w:rsidRPr="00FC5B86">
        <w:rPr>
          <w:rFonts w:ascii="Times New Roman" w:hAnsi="Times New Roman" w:cs="Times New Roman"/>
          <w:sz w:val="22"/>
          <w:szCs w:val="22"/>
        </w:rPr>
        <w:t xml:space="preserve"> unless the University Council authorizes a standing AI committee based on the Task Force’s recommendation;</w:t>
      </w:r>
    </w:p>
    <w:p w14:paraId="2B2193A7" w14:textId="3E85E5E2" w:rsidR="000A2617" w:rsidRDefault="000A2617" w:rsidP="000A2617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Avoid duplicating existing studies or frameworks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4579050" w14:textId="63C3F3C3" w:rsidR="000A2617" w:rsidRPr="00FC5B86" w:rsidRDefault="000A2617" w:rsidP="000A2617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Coordinate with relevant offices and governance bodies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A9B4643" w14:textId="6B121473" w:rsidR="008976C5" w:rsidRDefault="000A2617" w:rsidP="000504D3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>ubmit a recommendation</w:t>
      </w:r>
      <w:r w:rsidR="008976C5" w:rsidRPr="00FC5B86">
        <w:rPr>
          <w:rFonts w:ascii="Times New Roman" w:hAnsi="Times New Roman" w:cs="Times New Roman"/>
          <w:sz w:val="22"/>
          <w:szCs w:val="22"/>
        </w:rPr>
        <w:t xml:space="preserve"> on whether a permanent AI coordination structure is warranted and, if so, its proposed scope, governance, and authority.</w:t>
      </w:r>
    </w:p>
    <w:p w14:paraId="6DA08732" w14:textId="6F6B593A" w:rsidR="008976C5" w:rsidRPr="000A2617" w:rsidRDefault="00662304" w:rsidP="000A261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529F4B2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19D66F" w14:textId="0607A062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Outcomes and Measures of Success</w:t>
      </w:r>
    </w:p>
    <w:p w14:paraId="64445297" w14:textId="77777777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The Task Force will be considered successful if it:</w:t>
      </w:r>
    </w:p>
    <w:p w14:paraId="69BFFC77" w14:textId="77777777" w:rsidR="000A2617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Makes AI activity and needs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visible across units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74BB6D69" w14:textId="77777777" w:rsidR="000A2617" w:rsidRPr="00FC5B86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Reduces duplication, fragmentation, and conflicting practices;</w:t>
      </w:r>
    </w:p>
    <w:p w14:paraId="2305BA6A" w14:textId="556140D1" w:rsidR="000504D3" w:rsidRPr="000504D3" w:rsidRDefault="000504D3" w:rsidP="000504D3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Reduces uncertainty and inconsistency in AI practices across the university</w:t>
      </w:r>
      <w:r w:rsidR="000A2617">
        <w:rPr>
          <w:rFonts w:ascii="Times New Roman" w:hAnsi="Times New Roman" w:cs="Times New Roman"/>
          <w:sz w:val="22"/>
          <w:szCs w:val="22"/>
        </w:rPr>
        <w:t>;</w:t>
      </w:r>
    </w:p>
    <w:p w14:paraId="2DCD437C" w14:textId="77777777" w:rsidR="000504D3" w:rsidRDefault="000504D3" w:rsidP="000504D3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Enables timely decision-making aligned with MSU’s academic mission and values</w:t>
      </w:r>
    </w:p>
    <w:p w14:paraId="512F96EE" w14:textId="77777777" w:rsidR="000A2617" w:rsidRPr="00FC5B86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Enables leadership (including the CIO) to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coordinate AI efforts without repeated ad hoc consultations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4F9951C7" w14:textId="483E4626" w:rsidR="000A2617" w:rsidRPr="000504D3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Provides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clear recommendation on whether ongoing AI oversight requires a standing committee</w:t>
      </w:r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36A2B0C2" w14:textId="77777777" w:rsidR="000504D3" w:rsidRPr="000504D3" w:rsidRDefault="00662304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B825F7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63CB9C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Conclusion</w:t>
      </w:r>
    </w:p>
    <w:p w14:paraId="0186DDF1" w14:textId="1786FD5B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Establishing this Task Force represents a shift from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studying AI</w:t>
      </w:r>
      <w:r w:rsidRPr="000504D3">
        <w:rPr>
          <w:rFonts w:ascii="Times New Roman" w:hAnsi="Times New Roman" w:cs="Times New Roman"/>
          <w:sz w:val="22"/>
          <w:szCs w:val="22"/>
        </w:rPr>
        <w:t xml:space="preserve"> to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governing and managing it</w:t>
      </w:r>
      <w:r w:rsidRPr="000504D3">
        <w:rPr>
          <w:rFonts w:ascii="Times New Roman" w:hAnsi="Times New Roman" w:cs="Times New Roman"/>
          <w:sz w:val="22"/>
          <w:szCs w:val="22"/>
        </w:rPr>
        <w:t xml:space="preserve">. By focusing on concrete challenges, limited scope, and actionable outputs, the University Council can enable Michigan State University to respond effectively to rapid AI-driven </w:t>
      </w:r>
      <w:r w:rsidR="00207CD6">
        <w:rPr>
          <w:rFonts w:ascii="Times New Roman" w:hAnsi="Times New Roman" w:cs="Times New Roman"/>
          <w:sz w:val="22"/>
          <w:szCs w:val="22"/>
        </w:rPr>
        <w:t>changes and opportunities.</w:t>
      </w:r>
    </w:p>
    <w:p w14:paraId="0CC9F52B" w14:textId="77777777" w:rsidR="005F5B3B" w:rsidRPr="00B23E7F" w:rsidRDefault="005F5B3B">
      <w:pPr>
        <w:rPr>
          <w:rFonts w:ascii="Times New Roman" w:hAnsi="Times New Roman" w:cs="Times New Roman"/>
          <w:sz w:val="22"/>
          <w:szCs w:val="22"/>
        </w:rPr>
      </w:pPr>
    </w:p>
    <w:p w14:paraId="034F4AEC" w14:textId="77777777" w:rsidR="000504D3" w:rsidRPr="00B23E7F" w:rsidRDefault="000504D3">
      <w:pPr>
        <w:rPr>
          <w:rFonts w:ascii="Times New Roman" w:hAnsi="Times New Roman" w:cs="Times New Roman"/>
          <w:sz w:val="22"/>
          <w:szCs w:val="22"/>
        </w:rPr>
      </w:pPr>
    </w:p>
    <w:p w14:paraId="76B21343" w14:textId="77777777" w:rsidR="000504D3" w:rsidRDefault="000504D3"/>
    <w:sectPr w:rsidR="000504D3" w:rsidSect="008D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A05"/>
    <w:multiLevelType w:val="multilevel"/>
    <w:tmpl w:val="44D6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00E2"/>
    <w:multiLevelType w:val="multilevel"/>
    <w:tmpl w:val="2A4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E27"/>
    <w:multiLevelType w:val="multilevel"/>
    <w:tmpl w:val="07C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F2D38"/>
    <w:multiLevelType w:val="multilevel"/>
    <w:tmpl w:val="FE4C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4178E"/>
    <w:multiLevelType w:val="multilevel"/>
    <w:tmpl w:val="D06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B1B1D"/>
    <w:multiLevelType w:val="multilevel"/>
    <w:tmpl w:val="A27A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47572"/>
    <w:multiLevelType w:val="multilevel"/>
    <w:tmpl w:val="C74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D004F"/>
    <w:multiLevelType w:val="multilevel"/>
    <w:tmpl w:val="F81C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5605E"/>
    <w:multiLevelType w:val="multilevel"/>
    <w:tmpl w:val="8FD4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F4A7F"/>
    <w:multiLevelType w:val="multilevel"/>
    <w:tmpl w:val="69E0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A0151"/>
    <w:multiLevelType w:val="multilevel"/>
    <w:tmpl w:val="6C3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15135"/>
    <w:multiLevelType w:val="multilevel"/>
    <w:tmpl w:val="40A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C1728"/>
    <w:multiLevelType w:val="multilevel"/>
    <w:tmpl w:val="FF28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D0000"/>
    <w:multiLevelType w:val="multilevel"/>
    <w:tmpl w:val="6A6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F69C8"/>
    <w:multiLevelType w:val="multilevel"/>
    <w:tmpl w:val="CF4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80796">
    <w:abstractNumId w:val="2"/>
  </w:num>
  <w:num w:numId="2" w16cid:durableId="1458404063">
    <w:abstractNumId w:val="0"/>
  </w:num>
  <w:num w:numId="3" w16cid:durableId="1686863570">
    <w:abstractNumId w:val="1"/>
  </w:num>
  <w:num w:numId="4" w16cid:durableId="442923574">
    <w:abstractNumId w:val="7"/>
  </w:num>
  <w:num w:numId="5" w16cid:durableId="954365793">
    <w:abstractNumId w:val="8"/>
  </w:num>
  <w:num w:numId="6" w16cid:durableId="1450123881">
    <w:abstractNumId w:val="3"/>
  </w:num>
  <w:num w:numId="7" w16cid:durableId="1839928067">
    <w:abstractNumId w:val="13"/>
  </w:num>
  <w:num w:numId="8" w16cid:durableId="526987537">
    <w:abstractNumId w:val="12"/>
  </w:num>
  <w:num w:numId="9" w16cid:durableId="490945210">
    <w:abstractNumId w:val="5"/>
  </w:num>
  <w:num w:numId="10" w16cid:durableId="589581958">
    <w:abstractNumId w:val="9"/>
  </w:num>
  <w:num w:numId="11" w16cid:durableId="262807881">
    <w:abstractNumId w:val="6"/>
  </w:num>
  <w:num w:numId="12" w16cid:durableId="1932199486">
    <w:abstractNumId w:val="4"/>
  </w:num>
  <w:num w:numId="13" w16cid:durableId="2010402125">
    <w:abstractNumId w:val="14"/>
  </w:num>
  <w:num w:numId="14" w16cid:durableId="1420057726">
    <w:abstractNumId w:val="10"/>
  </w:num>
  <w:num w:numId="15" w16cid:durableId="1812358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3"/>
    <w:rsid w:val="000504D3"/>
    <w:rsid w:val="000A2617"/>
    <w:rsid w:val="001E08B5"/>
    <w:rsid w:val="00207CD6"/>
    <w:rsid w:val="00241D71"/>
    <w:rsid w:val="002C075B"/>
    <w:rsid w:val="003E5851"/>
    <w:rsid w:val="00552165"/>
    <w:rsid w:val="005F5B3B"/>
    <w:rsid w:val="00662304"/>
    <w:rsid w:val="006B243C"/>
    <w:rsid w:val="007D3FA2"/>
    <w:rsid w:val="008976C5"/>
    <w:rsid w:val="008D2470"/>
    <w:rsid w:val="00A04ADC"/>
    <w:rsid w:val="00B23E7F"/>
    <w:rsid w:val="00C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8093E17"/>
  <w15:chartTrackingRefBased/>
  <w15:docId w15:val="{1A3DEF0A-FF7B-9440-A6E9-FA2FF43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Angela</dc:creator>
  <cp:keywords/>
  <dc:description/>
  <cp:lastModifiedBy>Cuellar, Teresa</cp:lastModifiedBy>
  <cp:revision>2</cp:revision>
  <dcterms:created xsi:type="dcterms:W3CDTF">2026-01-02T00:43:00Z</dcterms:created>
  <dcterms:modified xsi:type="dcterms:W3CDTF">2026-01-02T00:43:00Z</dcterms:modified>
</cp:coreProperties>
</file>