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5AE52" w14:textId="77777777" w:rsidR="000C4301" w:rsidRPr="003A1E45" w:rsidRDefault="005672DF" w:rsidP="009D04B5">
      <w:pPr>
        <w:spacing w:after="0" w:line="240" w:lineRule="auto"/>
        <w:jc w:val="center"/>
        <w:outlineLvl w:val="0"/>
        <w:rPr>
          <w:rFonts w:cstheme="minorHAnsi"/>
        </w:rPr>
      </w:pPr>
      <w:r w:rsidRPr="003A1E45">
        <w:rPr>
          <w:rFonts w:cstheme="minorHAnsi"/>
        </w:rPr>
        <w:t>Michigan State University</w:t>
      </w:r>
    </w:p>
    <w:p w14:paraId="6EAD69E3" w14:textId="77777777" w:rsidR="000C4301" w:rsidRPr="003A1E45" w:rsidRDefault="005672DF" w:rsidP="00BB55F2">
      <w:pPr>
        <w:spacing w:after="0" w:line="240" w:lineRule="auto"/>
        <w:jc w:val="center"/>
        <w:outlineLvl w:val="0"/>
        <w:rPr>
          <w:rFonts w:cstheme="minorHAnsi"/>
        </w:rPr>
      </w:pPr>
      <w:r w:rsidRPr="003A1E45">
        <w:rPr>
          <w:rFonts w:cstheme="minorHAnsi"/>
        </w:rPr>
        <w:t>Anti-Discrimination Policy Appeal Procedures</w:t>
      </w:r>
    </w:p>
    <w:p w14:paraId="0DC40B1A" w14:textId="77777777" w:rsidR="000C4301" w:rsidRPr="003A1E45" w:rsidRDefault="000C4301">
      <w:pPr>
        <w:spacing w:after="0" w:line="240" w:lineRule="auto"/>
        <w:rPr>
          <w:rFonts w:cstheme="minorHAnsi"/>
          <w:b/>
          <w:u w:val="single"/>
        </w:rPr>
      </w:pPr>
    </w:p>
    <w:p w14:paraId="34EA8BA2" w14:textId="77777777" w:rsidR="000C4301" w:rsidRPr="003A1E45" w:rsidRDefault="005672DF" w:rsidP="009D04B5">
      <w:pPr>
        <w:spacing w:after="0" w:line="240" w:lineRule="auto"/>
        <w:outlineLvl w:val="0"/>
        <w:rPr>
          <w:rFonts w:cstheme="minorHAnsi"/>
          <w:b/>
          <w:u w:val="single"/>
        </w:rPr>
      </w:pPr>
      <w:r w:rsidRPr="003A1E45">
        <w:rPr>
          <w:rFonts w:cstheme="minorHAnsi"/>
          <w:b/>
          <w:u w:val="single"/>
        </w:rPr>
        <w:t>Background</w:t>
      </w:r>
    </w:p>
    <w:p w14:paraId="24FB9F9E" w14:textId="77777777" w:rsidR="000C4301" w:rsidRPr="003A1E45" w:rsidRDefault="000C4301">
      <w:pPr>
        <w:spacing w:after="0" w:line="240" w:lineRule="auto"/>
        <w:rPr>
          <w:rFonts w:cstheme="minorHAnsi"/>
        </w:rPr>
      </w:pPr>
    </w:p>
    <w:p w14:paraId="64273B1A" w14:textId="77777777" w:rsidR="000C4301" w:rsidRPr="003A1E45" w:rsidRDefault="005672DF">
      <w:pPr>
        <w:spacing w:after="0" w:line="240" w:lineRule="auto"/>
        <w:rPr>
          <w:rFonts w:cstheme="minorHAnsi"/>
        </w:rPr>
      </w:pPr>
      <w:r w:rsidRPr="003A1E45">
        <w:rPr>
          <w:rFonts w:cstheme="minorHAnsi"/>
        </w:rPr>
        <w:t>The University prohibits acts of discrimination and harassment</w:t>
      </w:r>
      <w:r w:rsidR="005115B8" w:rsidRPr="003A1E45">
        <w:rPr>
          <w:rFonts w:cstheme="minorHAnsi"/>
        </w:rPr>
        <w:t xml:space="preserve"> </w:t>
      </w:r>
      <w:r w:rsidRPr="003A1E45">
        <w:rPr>
          <w:rFonts w:cstheme="minorHAnsi"/>
        </w:rPr>
        <w:t>through its Anti-Discrimination Polic</w:t>
      </w:r>
      <w:r w:rsidR="005115B8" w:rsidRPr="003A1E45">
        <w:rPr>
          <w:rFonts w:cstheme="minorHAnsi"/>
        </w:rPr>
        <w:t>y</w:t>
      </w:r>
      <w:r w:rsidRPr="003A1E45">
        <w:rPr>
          <w:rFonts w:cstheme="minorHAnsi"/>
        </w:rPr>
        <w:t xml:space="preserve">.  </w:t>
      </w:r>
    </w:p>
    <w:p w14:paraId="501331F5" w14:textId="77777777" w:rsidR="000C4301" w:rsidRPr="003A1E45" w:rsidRDefault="000C4301">
      <w:pPr>
        <w:spacing w:after="0" w:line="240" w:lineRule="auto"/>
        <w:rPr>
          <w:rFonts w:cstheme="minorHAnsi"/>
        </w:rPr>
      </w:pPr>
    </w:p>
    <w:p w14:paraId="0B7051DC" w14:textId="25DFE7CD" w:rsidR="000C4301" w:rsidRPr="003A1E45" w:rsidRDefault="005672DF">
      <w:pPr>
        <w:spacing w:after="0" w:line="240" w:lineRule="auto"/>
        <w:rPr>
          <w:rFonts w:cstheme="minorHAnsi"/>
        </w:rPr>
      </w:pPr>
      <w:r w:rsidRPr="003A1E45">
        <w:rPr>
          <w:rFonts w:cstheme="minorHAnsi"/>
        </w:rPr>
        <w:t xml:space="preserve">All complaints of alleged discrimination or harassment in violation of the Anti-Discrimination Policy (“ADP”) are investigated by or under the oversight of </w:t>
      </w:r>
      <w:r w:rsidR="004140E9">
        <w:rPr>
          <w:rFonts w:cstheme="minorHAnsi"/>
        </w:rPr>
        <w:t>OCR’s Investigation, Support and Resolution Department</w:t>
      </w:r>
      <w:r w:rsidRPr="003A1E45">
        <w:rPr>
          <w:rFonts w:cstheme="minorHAnsi"/>
        </w:rPr>
        <w:t xml:space="preserve"> (“</w:t>
      </w:r>
      <w:r w:rsidR="004140E9">
        <w:rPr>
          <w:rFonts w:cstheme="minorHAnsi"/>
        </w:rPr>
        <w:t>ISR</w:t>
      </w:r>
      <w:r w:rsidRPr="003A1E45">
        <w:rPr>
          <w:rFonts w:cstheme="minorHAnsi"/>
        </w:rPr>
        <w:t>”).  These procedures provide a process to appeal findings</w:t>
      </w:r>
      <w:r w:rsidR="006B013D" w:rsidRPr="003A1E45">
        <w:rPr>
          <w:rFonts w:cstheme="minorHAnsi"/>
        </w:rPr>
        <w:t xml:space="preserve"> </w:t>
      </w:r>
      <w:r w:rsidRPr="003A1E45">
        <w:rPr>
          <w:rFonts w:cstheme="minorHAnsi"/>
        </w:rPr>
        <w:t xml:space="preserve">issued by </w:t>
      </w:r>
      <w:r w:rsidR="007402B7">
        <w:rPr>
          <w:rFonts w:cstheme="minorHAnsi"/>
        </w:rPr>
        <w:t>ISR</w:t>
      </w:r>
      <w:r w:rsidR="005115B8" w:rsidRPr="003A1E45">
        <w:rPr>
          <w:rFonts w:cstheme="minorHAnsi"/>
        </w:rPr>
        <w:t xml:space="preserve"> </w:t>
      </w:r>
      <w:r w:rsidR="00402932" w:rsidRPr="003A1E45">
        <w:rPr>
          <w:rFonts w:cstheme="minorHAnsi"/>
        </w:rPr>
        <w:t xml:space="preserve">following </w:t>
      </w:r>
      <w:r w:rsidR="006B013D" w:rsidRPr="003A1E45">
        <w:rPr>
          <w:rFonts w:cstheme="minorHAnsi"/>
        </w:rPr>
        <w:t xml:space="preserve">an </w:t>
      </w:r>
      <w:r w:rsidR="00402932" w:rsidRPr="003A1E45">
        <w:rPr>
          <w:rFonts w:cstheme="minorHAnsi"/>
        </w:rPr>
        <w:t>investigation</w:t>
      </w:r>
      <w:r w:rsidRPr="003A1E45">
        <w:rPr>
          <w:rFonts w:cstheme="minorHAnsi"/>
        </w:rPr>
        <w:t xml:space="preserve">.  These procedures also provide a process to appeal sanctions imposed on student respondents following a finding that a student violated the ADP. </w:t>
      </w:r>
    </w:p>
    <w:p w14:paraId="6F010DD5" w14:textId="77777777" w:rsidR="000C4301" w:rsidRPr="003A1E45" w:rsidRDefault="000C4301">
      <w:pPr>
        <w:spacing w:after="0" w:line="240" w:lineRule="auto"/>
        <w:rPr>
          <w:rFonts w:cstheme="minorHAnsi"/>
        </w:rPr>
      </w:pPr>
    </w:p>
    <w:p w14:paraId="167C84F7" w14:textId="77777777" w:rsidR="000C4301" w:rsidRPr="003A1E45" w:rsidRDefault="005672DF">
      <w:pPr>
        <w:pStyle w:val="MediumGrid1-Accent21"/>
        <w:numPr>
          <w:ilvl w:val="0"/>
          <w:numId w:val="5"/>
        </w:numPr>
        <w:spacing w:after="0" w:line="240" w:lineRule="auto"/>
        <w:ind w:left="360" w:hanging="360"/>
        <w:rPr>
          <w:rFonts w:asciiTheme="minorHAnsi" w:hAnsiTheme="minorHAnsi" w:cstheme="minorHAnsi"/>
          <w:b/>
        </w:rPr>
      </w:pPr>
      <w:r w:rsidRPr="003A1E45">
        <w:rPr>
          <w:rFonts w:asciiTheme="minorHAnsi" w:hAnsiTheme="minorHAnsi" w:cstheme="minorHAnsi"/>
          <w:b/>
        </w:rPr>
        <w:t>APPEALS</w:t>
      </w:r>
    </w:p>
    <w:p w14:paraId="4205B074" w14:textId="77777777" w:rsidR="000C4301" w:rsidRPr="003A1E45" w:rsidRDefault="000C4301">
      <w:pPr>
        <w:pStyle w:val="MediumGrid1-Accent21"/>
        <w:spacing w:after="0" w:line="240" w:lineRule="auto"/>
        <w:ind w:left="0"/>
        <w:rPr>
          <w:rFonts w:asciiTheme="minorHAnsi" w:hAnsiTheme="minorHAnsi" w:cstheme="minorHAnsi"/>
        </w:rPr>
      </w:pPr>
    </w:p>
    <w:p w14:paraId="6F4F18DF" w14:textId="77777777" w:rsidR="000C4301" w:rsidRPr="003A1E45" w:rsidRDefault="005672DF">
      <w:pPr>
        <w:pStyle w:val="MediumGrid1-Accent21"/>
        <w:spacing w:after="0" w:line="240" w:lineRule="auto"/>
        <w:ind w:left="0"/>
        <w:rPr>
          <w:rFonts w:asciiTheme="minorHAnsi" w:hAnsiTheme="minorHAnsi" w:cstheme="minorHAnsi"/>
        </w:rPr>
      </w:pPr>
      <w:r w:rsidRPr="003A1E45">
        <w:rPr>
          <w:rFonts w:asciiTheme="minorHAnsi" w:hAnsiTheme="minorHAnsi" w:cstheme="minorHAnsi"/>
        </w:rPr>
        <w:t>Both the claimant and respondent may appeal pursuant to the following guidelines:</w:t>
      </w:r>
    </w:p>
    <w:p w14:paraId="487A0ED5" w14:textId="77777777" w:rsidR="000C4301" w:rsidRPr="003A1E45" w:rsidRDefault="000C4301">
      <w:pPr>
        <w:pStyle w:val="MediumGrid1-Accent21"/>
        <w:spacing w:after="0" w:line="240" w:lineRule="auto"/>
        <w:ind w:left="360"/>
        <w:rPr>
          <w:rFonts w:asciiTheme="minorHAnsi" w:hAnsiTheme="minorHAnsi" w:cstheme="minorHAnsi"/>
        </w:rPr>
      </w:pPr>
    </w:p>
    <w:p w14:paraId="0D97E9E8" w14:textId="77777777" w:rsidR="000C4301" w:rsidRPr="003A1E45" w:rsidRDefault="005672DF">
      <w:pPr>
        <w:pStyle w:val="MediumGrid1-Accent21"/>
        <w:numPr>
          <w:ilvl w:val="0"/>
          <w:numId w:val="6"/>
        </w:numPr>
        <w:spacing w:after="0" w:line="240" w:lineRule="auto"/>
        <w:rPr>
          <w:rFonts w:asciiTheme="minorHAnsi" w:hAnsiTheme="minorHAnsi" w:cstheme="minorHAnsi"/>
        </w:rPr>
      </w:pPr>
      <w:r w:rsidRPr="003A1E45">
        <w:rPr>
          <w:rFonts w:asciiTheme="minorHAnsi" w:hAnsiTheme="minorHAnsi" w:cstheme="minorHAnsi"/>
        </w:rPr>
        <w:t>Appeals are filed in writing and must specify the basis for appeal in sufficient detail to justify further proceedings.</w:t>
      </w:r>
    </w:p>
    <w:p w14:paraId="17F52BAC" w14:textId="77777777" w:rsidR="000C4301" w:rsidRPr="003A1E45" w:rsidRDefault="005672DF">
      <w:pPr>
        <w:pStyle w:val="MediumGrid1-Accent21"/>
        <w:rPr>
          <w:rFonts w:asciiTheme="minorHAnsi" w:hAnsiTheme="minorHAnsi" w:cstheme="minorHAnsi"/>
        </w:rPr>
      </w:pPr>
      <w:r w:rsidRPr="003A1E45">
        <w:rPr>
          <w:rFonts w:asciiTheme="minorHAnsi" w:hAnsiTheme="minorHAnsi" w:cstheme="minorHAnsi"/>
        </w:rPr>
        <w:t xml:space="preserve">  </w:t>
      </w:r>
    </w:p>
    <w:p w14:paraId="3399166A" w14:textId="6EDAE908" w:rsidR="000C4301" w:rsidRPr="003A1E45" w:rsidRDefault="005672DF">
      <w:pPr>
        <w:pStyle w:val="MediumGrid1-Accent21"/>
        <w:numPr>
          <w:ilvl w:val="0"/>
          <w:numId w:val="6"/>
        </w:numPr>
        <w:spacing w:after="0" w:line="240" w:lineRule="auto"/>
        <w:rPr>
          <w:rFonts w:asciiTheme="minorHAnsi" w:hAnsiTheme="minorHAnsi" w:cstheme="minorHAnsi"/>
        </w:rPr>
      </w:pPr>
      <w:r w:rsidRPr="003A1E45">
        <w:rPr>
          <w:rFonts w:asciiTheme="minorHAnsi" w:hAnsiTheme="minorHAnsi" w:cstheme="minorHAnsi"/>
        </w:rPr>
        <w:t xml:space="preserve">Appeals must be submitted within 10 </w:t>
      </w:r>
      <w:r w:rsidR="00D71B47">
        <w:rPr>
          <w:rFonts w:asciiTheme="minorHAnsi" w:hAnsiTheme="minorHAnsi" w:cstheme="minorHAnsi"/>
        </w:rPr>
        <w:t xml:space="preserve">business </w:t>
      </w:r>
      <w:r w:rsidRPr="003A1E45">
        <w:rPr>
          <w:rFonts w:asciiTheme="minorHAnsi" w:hAnsiTheme="minorHAnsi" w:cstheme="minorHAnsi"/>
        </w:rPr>
        <w:t xml:space="preserve">days of written notice of </w:t>
      </w:r>
      <w:r w:rsidR="00B7638C">
        <w:rPr>
          <w:rFonts w:asciiTheme="minorHAnsi" w:hAnsiTheme="minorHAnsi" w:cstheme="minorHAnsi"/>
        </w:rPr>
        <w:t>ISR’s</w:t>
      </w:r>
      <w:r w:rsidRPr="003A1E45">
        <w:rPr>
          <w:rFonts w:asciiTheme="minorHAnsi" w:hAnsiTheme="minorHAnsi" w:cstheme="minorHAnsi"/>
        </w:rPr>
        <w:t xml:space="preserve"> </w:t>
      </w:r>
      <w:r w:rsidR="00F14B66" w:rsidRPr="003A1E45">
        <w:rPr>
          <w:rFonts w:asciiTheme="minorHAnsi" w:hAnsiTheme="minorHAnsi" w:cstheme="minorHAnsi"/>
        </w:rPr>
        <w:t>findings</w:t>
      </w:r>
      <w:r w:rsidRPr="003A1E45">
        <w:rPr>
          <w:rFonts w:asciiTheme="minorHAnsi" w:hAnsiTheme="minorHAnsi" w:cstheme="minorHAnsi"/>
        </w:rPr>
        <w:t xml:space="preserve"> in all cases, except, where a student respondent is found to have violated the ADP, an appeal must be submitted within 10</w:t>
      </w:r>
      <w:r w:rsidR="00B7638C">
        <w:rPr>
          <w:rFonts w:asciiTheme="minorHAnsi" w:hAnsiTheme="minorHAnsi" w:cstheme="minorHAnsi"/>
        </w:rPr>
        <w:t xml:space="preserve"> business</w:t>
      </w:r>
      <w:r w:rsidRPr="003A1E45">
        <w:rPr>
          <w:rFonts w:asciiTheme="minorHAnsi" w:hAnsiTheme="minorHAnsi" w:cstheme="minorHAnsi"/>
        </w:rPr>
        <w:t xml:space="preserve"> days of </w:t>
      </w:r>
      <w:r w:rsidR="00B7638C">
        <w:rPr>
          <w:rFonts w:asciiTheme="minorHAnsi" w:hAnsiTheme="minorHAnsi" w:cstheme="minorHAnsi"/>
        </w:rPr>
        <w:t xml:space="preserve">the </w:t>
      </w:r>
      <w:r w:rsidRPr="003A1E45">
        <w:rPr>
          <w:rFonts w:asciiTheme="minorHAnsi" w:hAnsiTheme="minorHAnsi" w:cstheme="minorHAnsi"/>
        </w:rPr>
        <w:t xml:space="preserve">written notice of the sanction decision.   </w:t>
      </w:r>
    </w:p>
    <w:p w14:paraId="12FDAB70" w14:textId="77777777" w:rsidR="000C4301" w:rsidRPr="003A1E45" w:rsidRDefault="000C4301">
      <w:pPr>
        <w:pStyle w:val="MediumGrid1-Accent21"/>
        <w:spacing w:after="0" w:line="240" w:lineRule="auto"/>
        <w:ind w:left="1440"/>
        <w:rPr>
          <w:rFonts w:asciiTheme="minorHAnsi" w:hAnsiTheme="minorHAnsi" w:cstheme="minorHAnsi"/>
        </w:rPr>
      </w:pPr>
    </w:p>
    <w:p w14:paraId="28A6B3BE" w14:textId="77777777" w:rsidR="00256934" w:rsidRPr="003A1E45" w:rsidRDefault="005672DF" w:rsidP="005115B8">
      <w:pPr>
        <w:pStyle w:val="MediumGrid1-Accent21"/>
        <w:numPr>
          <w:ilvl w:val="0"/>
          <w:numId w:val="6"/>
        </w:numPr>
        <w:spacing w:after="0" w:line="240" w:lineRule="auto"/>
        <w:rPr>
          <w:rFonts w:asciiTheme="minorHAnsi" w:hAnsiTheme="minorHAnsi" w:cstheme="minorHAnsi"/>
        </w:rPr>
      </w:pPr>
      <w:r w:rsidRPr="003A1E45">
        <w:rPr>
          <w:rFonts w:asciiTheme="minorHAnsi" w:hAnsiTheme="minorHAnsi" w:cstheme="minorHAnsi"/>
        </w:rPr>
        <w:t xml:space="preserve">Appeals must allege one or more of the following: </w:t>
      </w:r>
    </w:p>
    <w:p w14:paraId="1E4A4183" w14:textId="77777777" w:rsidR="00256934" w:rsidRPr="003A1E45" w:rsidRDefault="00256934" w:rsidP="005115B8">
      <w:pPr>
        <w:pStyle w:val="ListParagraph"/>
        <w:rPr>
          <w:rFonts w:cstheme="minorHAnsi"/>
        </w:rPr>
      </w:pPr>
    </w:p>
    <w:p w14:paraId="21C00EFD" w14:textId="77777777" w:rsidR="001729A5" w:rsidRPr="003A1E45" w:rsidRDefault="001729A5" w:rsidP="005115B8">
      <w:pPr>
        <w:pStyle w:val="MediumGrid1-Accent21"/>
        <w:numPr>
          <w:ilvl w:val="1"/>
          <w:numId w:val="10"/>
        </w:numPr>
        <w:spacing w:after="0" w:line="240" w:lineRule="auto"/>
        <w:rPr>
          <w:rFonts w:asciiTheme="minorHAnsi" w:hAnsiTheme="minorHAnsi" w:cstheme="minorHAnsi"/>
        </w:rPr>
      </w:pPr>
      <w:r w:rsidRPr="003A1E45">
        <w:rPr>
          <w:rFonts w:asciiTheme="minorHAnsi" w:hAnsiTheme="minorHAnsi" w:cstheme="minorHAnsi"/>
        </w:rPr>
        <w:t>Procedural irregularity that affected the outcome of the matter;</w:t>
      </w:r>
    </w:p>
    <w:p w14:paraId="600BD5ED" w14:textId="77777777" w:rsidR="001729A5" w:rsidRPr="003A1E45" w:rsidRDefault="001729A5" w:rsidP="005115B8">
      <w:pPr>
        <w:numPr>
          <w:ilvl w:val="1"/>
          <w:numId w:val="10"/>
        </w:numPr>
        <w:spacing w:after="0" w:line="240" w:lineRule="auto"/>
        <w:rPr>
          <w:rFonts w:cstheme="minorHAnsi"/>
        </w:rPr>
      </w:pPr>
      <w:r w:rsidRPr="003A1E45">
        <w:rPr>
          <w:rFonts w:cstheme="minorHAnsi"/>
        </w:rPr>
        <w:t xml:space="preserve">New evidence that was not reasonably available at the time </w:t>
      </w:r>
      <w:proofErr w:type="gramStart"/>
      <w:r w:rsidRPr="003A1E45">
        <w:rPr>
          <w:rFonts w:cstheme="minorHAnsi"/>
        </w:rPr>
        <w:t>the determination</w:t>
      </w:r>
      <w:proofErr w:type="gramEnd"/>
      <w:r w:rsidRPr="003A1E45">
        <w:rPr>
          <w:rFonts w:cstheme="minorHAnsi"/>
        </w:rPr>
        <w:t xml:space="preserve"> regarding responsibility or dismissal was </w:t>
      </w:r>
      <w:proofErr w:type="gramStart"/>
      <w:r w:rsidRPr="003A1E45">
        <w:rPr>
          <w:rFonts w:cstheme="minorHAnsi"/>
        </w:rPr>
        <w:t>made,</w:t>
      </w:r>
      <w:proofErr w:type="gramEnd"/>
      <w:r w:rsidRPr="003A1E45">
        <w:rPr>
          <w:rFonts w:cstheme="minorHAnsi"/>
        </w:rPr>
        <w:t xml:space="preserve"> that could affect the outcome of the matter; </w:t>
      </w:r>
    </w:p>
    <w:p w14:paraId="411AD305" w14:textId="77777777" w:rsidR="00256934" w:rsidRPr="003A1E45" w:rsidRDefault="001729A5" w:rsidP="005115B8">
      <w:pPr>
        <w:pStyle w:val="ListParagraph"/>
        <w:numPr>
          <w:ilvl w:val="1"/>
          <w:numId w:val="10"/>
        </w:numPr>
        <w:rPr>
          <w:rFonts w:cstheme="minorHAnsi"/>
        </w:rPr>
      </w:pPr>
      <w:r w:rsidRPr="003A1E45">
        <w:rPr>
          <w:rFonts w:cstheme="minorHAnsi"/>
        </w:rPr>
        <w:t>The investigator(s), or decision-maker(s) had a conflict of interest or bias for or against complainants or respondents generally or the individual complainant or respondent that affected t</w:t>
      </w:r>
      <w:r w:rsidR="00256934" w:rsidRPr="003A1E45">
        <w:rPr>
          <w:rFonts w:cstheme="minorHAnsi"/>
        </w:rPr>
        <w:t>he outcome of the matter; and/or</w:t>
      </w:r>
    </w:p>
    <w:p w14:paraId="3D1E2C33" w14:textId="759BFC64" w:rsidR="00256934" w:rsidRDefault="00256934" w:rsidP="005115B8">
      <w:pPr>
        <w:pStyle w:val="ListParagraph"/>
        <w:numPr>
          <w:ilvl w:val="1"/>
          <w:numId w:val="10"/>
        </w:numPr>
        <w:rPr>
          <w:rFonts w:cstheme="minorHAnsi"/>
        </w:rPr>
      </w:pPr>
      <w:r w:rsidRPr="003A1E45">
        <w:rPr>
          <w:rFonts w:cstheme="minorHAnsi"/>
        </w:rPr>
        <w:t xml:space="preserve">The written decision was arbitrary and capricious. A decision or finding is arbitrary and capricious when the application of the policy has no reasonable basis in fact. </w:t>
      </w:r>
    </w:p>
    <w:p w14:paraId="7C2E859B" w14:textId="1FAA2A19" w:rsidR="00E22A6F" w:rsidRPr="003A1E45" w:rsidRDefault="00E22A6F" w:rsidP="005115B8">
      <w:pPr>
        <w:pStyle w:val="ListParagraph"/>
        <w:numPr>
          <w:ilvl w:val="1"/>
          <w:numId w:val="10"/>
        </w:numPr>
        <w:rPr>
          <w:rFonts w:cstheme="minorHAnsi"/>
        </w:rPr>
      </w:pPr>
      <w:r>
        <w:rPr>
          <w:rFonts w:cstheme="minorHAnsi"/>
        </w:rPr>
        <w:t xml:space="preserve">Where a sanction has been decided for a student, the sanction is clearly inappropriate or is not commensurate with the seriousness of the offense. </w:t>
      </w:r>
    </w:p>
    <w:p w14:paraId="49928202" w14:textId="77777777" w:rsidR="000C4301" w:rsidRPr="003A1E45" w:rsidRDefault="000C4301" w:rsidP="005115B8">
      <w:pPr>
        <w:pStyle w:val="MediumGrid1-Accent21"/>
        <w:spacing w:after="0" w:line="240" w:lineRule="auto"/>
        <w:ind w:left="1080"/>
        <w:rPr>
          <w:rFonts w:asciiTheme="minorHAnsi" w:hAnsiTheme="minorHAnsi" w:cstheme="minorHAnsi"/>
        </w:rPr>
      </w:pPr>
    </w:p>
    <w:p w14:paraId="14926CA2" w14:textId="77777777" w:rsidR="000C4301" w:rsidRPr="003A1E45" w:rsidRDefault="005672DF">
      <w:pPr>
        <w:pStyle w:val="MediumGrid1-Accent21"/>
        <w:numPr>
          <w:ilvl w:val="0"/>
          <w:numId w:val="6"/>
        </w:numPr>
        <w:spacing w:after="0" w:line="240" w:lineRule="auto"/>
        <w:rPr>
          <w:rFonts w:asciiTheme="minorHAnsi" w:hAnsiTheme="minorHAnsi" w:cstheme="minorHAnsi"/>
        </w:rPr>
      </w:pPr>
      <w:r w:rsidRPr="003A1E45">
        <w:rPr>
          <w:rFonts w:asciiTheme="minorHAnsi" w:hAnsiTheme="minorHAnsi" w:cstheme="minorHAnsi"/>
        </w:rPr>
        <w:t xml:space="preserve">The party filing the appeal bears the burden of proof.   </w:t>
      </w:r>
    </w:p>
    <w:p w14:paraId="505E3787" w14:textId="77777777" w:rsidR="000C4301" w:rsidRPr="003A1E45" w:rsidRDefault="000C4301">
      <w:pPr>
        <w:pStyle w:val="NormalWeb"/>
        <w:widowControl w:val="0"/>
        <w:tabs>
          <w:tab w:val="left" w:pos="990"/>
          <w:tab w:val="left" w:pos="2160"/>
        </w:tabs>
        <w:spacing w:before="0" w:beforeAutospacing="0" w:after="0" w:afterAutospacing="0"/>
        <w:ind w:left="720"/>
        <w:contextualSpacing/>
        <w:rPr>
          <w:rFonts w:asciiTheme="minorHAnsi" w:hAnsiTheme="minorHAnsi" w:cstheme="minorHAnsi"/>
          <w:sz w:val="22"/>
          <w:szCs w:val="22"/>
        </w:rPr>
      </w:pPr>
    </w:p>
    <w:p w14:paraId="4985041E" w14:textId="51FD16D1" w:rsidR="000C4301" w:rsidRPr="003A1E45" w:rsidRDefault="005672DF">
      <w:pPr>
        <w:pStyle w:val="NormalWeb"/>
        <w:widowControl w:val="0"/>
        <w:numPr>
          <w:ilvl w:val="0"/>
          <w:numId w:val="6"/>
        </w:numPr>
        <w:tabs>
          <w:tab w:val="left" w:pos="990"/>
          <w:tab w:val="left" w:pos="2160"/>
        </w:tabs>
        <w:spacing w:before="0" w:beforeAutospacing="0" w:after="0" w:afterAutospacing="0"/>
        <w:contextualSpacing/>
        <w:rPr>
          <w:rFonts w:asciiTheme="minorHAnsi" w:hAnsiTheme="minorHAnsi" w:cstheme="minorHAnsi"/>
          <w:sz w:val="22"/>
          <w:szCs w:val="22"/>
        </w:rPr>
      </w:pPr>
      <w:r w:rsidRPr="003A1E45">
        <w:rPr>
          <w:rFonts w:asciiTheme="minorHAnsi" w:hAnsiTheme="minorHAnsi" w:cstheme="minorHAnsi"/>
          <w:sz w:val="22"/>
          <w:szCs w:val="22"/>
        </w:rPr>
        <w:t xml:space="preserve">Each party will be </w:t>
      </w:r>
      <w:proofErr w:type="gramStart"/>
      <w:r w:rsidRPr="003A1E45">
        <w:rPr>
          <w:rFonts w:asciiTheme="minorHAnsi" w:hAnsiTheme="minorHAnsi" w:cstheme="minorHAnsi"/>
          <w:sz w:val="22"/>
          <w:szCs w:val="22"/>
        </w:rPr>
        <w:t>provided</w:t>
      </w:r>
      <w:proofErr w:type="gramEnd"/>
      <w:r w:rsidRPr="003A1E45">
        <w:rPr>
          <w:rFonts w:asciiTheme="minorHAnsi" w:hAnsiTheme="minorHAnsi" w:cstheme="minorHAnsi"/>
          <w:sz w:val="22"/>
          <w:szCs w:val="22"/>
        </w:rPr>
        <w:t xml:space="preserve"> an opportunity to respond in writing to an appeal filed by the other party.  </w:t>
      </w:r>
      <w:r w:rsidR="00C86217">
        <w:rPr>
          <w:rFonts w:asciiTheme="minorHAnsi" w:hAnsiTheme="minorHAnsi" w:cstheme="minorHAnsi"/>
          <w:sz w:val="22"/>
          <w:szCs w:val="22"/>
        </w:rPr>
        <w:t>ISR</w:t>
      </w:r>
      <w:r w:rsidRPr="003A1E45">
        <w:rPr>
          <w:rFonts w:asciiTheme="minorHAnsi" w:hAnsiTheme="minorHAnsi" w:cstheme="minorHAnsi"/>
          <w:sz w:val="22"/>
          <w:szCs w:val="22"/>
        </w:rPr>
        <w:t xml:space="preserve"> will also be </w:t>
      </w:r>
      <w:proofErr w:type="gramStart"/>
      <w:r w:rsidRPr="003A1E45">
        <w:rPr>
          <w:rFonts w:asciiTheme="minorHAnsi" w:hAnsiTheme="minorHAnsi" w:cstheme="minorHAnsi"/>
          <w:sz w:val="22"/>
          <w:szCs w:val="22"/>
        </w:rPr>
        <w:t>provided</w:t>
      </w:r>
      <w:proofErr w:type="gramEnd"/>
      <w:r w:rsidRPr="003A1E45">
        <w:rPr>
          <w:rFonts w:asciiTheme="minorHAnsi" w:hAnsiTheme="minorHAnsi" w:cstheme="minorHAnsi"/>
          <w:sz w:val="22"/>
          <w:szCs w:val="22"/>
        </w:rPr>
        <w:t xml:space="preserve"> an opportunity to respond in writing to any appeal of the decision.  Written responses to an appeal must be filed within 10</w:t>
      </w:r>
      <w:r w:rsidR="009B5027">
        <w:rPr>
          <w:rFonts w:asciiTheme="minorHAnsi" w:hAnsiTheme="minorHAnsi" w:cstheme="minorHAnsi"/>
          <w:sz w:val="22"/>
          <w:szCs w:val="22"/>
        </w:rPr>
        <w:t xml:space="preserve"> business</w:t>
      </w:r>
      <w:r w:rsidRPr="003A1E45">
        <w:rPr>
          <w:rFonts w:asciiTheme="minorHAnsi" w:hAnsiTheme="minorHAnsi" w:cstheme="minorHAnsi"/>
          <w:sz w:val="22"/>
          <w:szCs w:val="22"/>
        </w:rPr>
        <w:t xml:space="preserve"> days of the written notice of appeal.  Copies of written responses will be shared with the other part(</w:t>
      </w:r>
      <w:proofErr w:type="spellStart"/>
      <w:r w:rsidRPr="003A1E45">
        <w:rPr>
          <w:rFonts w:asciiTheme="minorHAnsi" w:hAnsiTheme="minorHAnsi" w:cstheme="minorHAnsi"/>
          <w:sz w:val="22"/>
          <w:szCs w:val="22"/>
        </w:rPr>
        <w:t>ies</w:t>
      </w:r>
      <w:proofErr w:type="spellEnd"/>
      <w:r w:rsidRPr="003A1E45">
        <w:rPr>
          <w:rFonts w:asciiTheme="minorHAnsi" w:hAnsiTheme="minorHAnsi" w:cstheme="minorHAnsi"/>
          <w:sz w:val="22"/>
          <w:szCs w:val="22"/>
        </w:rPr>
        <w:t xml:space="preserve">) and </w:t>
      </w:r>
      <w:r w:rsidR="009B5027">
        <w:rPr>
          <w:rFonts w:asciiTheme="minorHAnsi" w:hAnsiTheme="minorHAnsi" w:cstheme="minorHAnsi"/>
          <w:sz w:val="22"/>
          <w:szCs w:val="22"/>
        </w:rPr>
        <w:t>with ISR</w:t>
      </w:r>
      <w:r w:rsidRPr="003A1E45">
        <w:rPr>
          <w:rFonts w:asciiTheme="minorHAnsi" w:hAnsiTheme="minorHAnsi" w:cstheme="minorHAnsi"/>
          <w:sz w:val="22"/>
          <w:szCs w:val="22"/>
        </w:rPr>
        <w:t xml:space="preserve">.  Additional rebuttal statements will not be accepted. </w:t>
      </w:r>
    </w:p>
    <w:p w14:paraId="0EFBD715" w14:textId="77777777" w:rsidR="000C4301" w:rsidRPr="003A1E45" w:rsidRDefault="000C4301">
      <w:pPr>
        <w:pStyle w:val="NormalWeb"/>
        <w:widowControl w:val="0"/>
        <w:tabs>
          <w:tab w:val="left" w:pos="990"/>
          <w:tab w:val="left" w:pos="2160"/>
        </w:tabs>
        <w:spacing w:before="0" w:beforeAutospacing="0" w:after="0" w:afterAutospacing="0"/>
        <w:ind w:left="720"/>
        <w:contextualSpacing/>
        <w:rPr>
          <w:rFonts w:asciiTheme="minorHAnsi" w:hAnsiTheme="minorHAnsi" w:cstheme="minorHAnsi"/>
          <w:sz w:val="22"/>
          <w:szCs w:val="22"/>
        </w:rPr>
      </w:pPr>
    </w:p>
    <w:p w14:paraId="63A7EB2E" w14:textId="65CC4E49" w:rsidR="000C4301" w:rsidRDefault="005672DF" w:rsidP="0050602B">
      <w:pPr>
        <w:pStyle w:val="NormalWeb"/>
        <w:widowControl w:val="0"/>
        <w:numPr>
          <w:ilvl w:val="0"/>
          <w:numId w:val="6"/>
        </w:numPr>
        <w:tabs>
          <w:tab w:val="left" w:pos="990"/>
          <w:tab w:val="left" w:pos="2160"/>
        </w:tabs>
        <w:spacing w:before="0" w:beforeAutospacing="0" w:after="0" w:afterAutospacing="0"/>
        <w:contextualSpacing/>
        <w:rPr>
          <w:rFonts w:asciiTheme="minorHAnsi" w:hAnsiTheme="minorHAnsi" w:cstheme="minorHAnsi"/>
          <w:sz w:val="22"/>
          <w:szCs w:val="22"/>
        </w:rPr>
      </w:pPr>
      <w:r w:rsidRPr="000349FE">
        <w:rPr>
          <w:rFonts w:asciiTheme="minorHAnsi" w:hAnsiTheme="minorHAnsi" w:cstheme="minorHAnsi"/>
          <w:sz w:val="22"/>
          <w:szCs w:val="22"/>
        </w:rPr>
        <w:t xml:space="preserve">Appeals will be decided by an Equity Review Officer.  The Equity Review Officer is a neutral individual appointed </w:t>
      </w:r>
      <w:r w:rsidR="004220BF" w:rsidRPr="000349FE">
        <w:rPr>
          <w:rFonts w:asciiTheme="minorHAnsi" w:hAnsiTheme="minorHAnsi" w:cstheme="minorHAnsi"/>
          <w:sz w:val="22"/>
          <w:szCs w:val="22"/>
        </w:rPr>
        <w:t xml:space="preserve">by the Vice President of Civil Rights and Title IX Education and Compliance </w:t>
      </w:r>
      <w:r w:rsidRPr="000349FE">
        <w:rPr>
          <w:rFonts w:asciiTheme="minorHAnsi" w:hAnsiTheme="minorHAnsi" w:cstheme="minorHAnsi"/>
          <w:sz w:val="22"/>
          <w:szCs w:val="22"/>
        </w:rPr>
        <w:t xml:space="preserve">to adjudicate appeals under this process.  The Equity Review Officer receives annual training regarding the University’s policies and procedures and best practices in conducting investigations of prohibited harassment and discrimination, including sexual violence.  </w:t>
      </w:r>
    </w:p>
    <w:p w14:paraId="4BC049B8" w14:textId="21DEBA19" w:rsidR="000349FE" w:rsidRPr="000349FE" w:rsidRDefault="000349FE" w:rsidP="000349FE">
      <w:pPr>
        <w:pStyle w:val="NormalWeb"/>
        <w:widowControl w:val="0"/>
        <w:tabs>
          <w:tab w:val="left" w:pos="990"/>
          <w:tab w:val="left" w:pos="2160"/>
        </w:tabs>
        <w:spacing w:before="0" w:beforeAutospacing="0" w:after="0" w:afterAutospacing="0"/>
        <w:contextualSpacing/>
        <w:rPr>
          <w:rFonts w:asciiTheme="minorHAnsi" w:hAnsiTheme="minorHAnsi" w:cstheme="minorHAnsi"/>
          <w:sz w:val="22"/>
          <w:szCs w:val="22"/>
        </w:rPr>
      </w:pPr>
    </w:p>
    <w:p w14:paraId="3BF61F59" w14:textId="77777777" w:rsidR="000C4301" w:rsidRPr="003A1E45" w:rsidRDefault="005672DF">
      <w:pPr>
        <w:pStyle w:val="MediumGrid1-Accent21"/>
        <w:numPr>
          <w:ilvl w:val="0"/>
          <w:numId w:val="6"/>
        </w:numPr>
        <w:spacing w:after="0" w:line="240" w:lineRule="auto"/>
        <w:rPr>
          <w:rFonts w:asciiTheme="minorHAnsi" w:hAnsiTheme="minorHAnsi" w:cstheme="minorHAnsi"/>
        </w:rPr>
      </w:pPr>
      <w:r w:rsidRPr="003A1E45">
        <w:rPr>
          <w:rFonts w:asciiTheme="minorHAnsi" w:hAnsiTheme="minorHAnsi" w:cstheme="minorHAnsi"/>
        </w:rPr>
        <w:t>New evidence will not be considered in an appeal unless the information is substantive and relevant to the investigation, was previously unavailable to the party submitting it, and the party acted with due diligence to obtain such evidence.</w:t>
      </w:r>
    </w:p>
    <w:p w14:paraId="6C1D78CA" w14:textId="77777777" w:rsidR="000C4301" w:rsidRPr="003A1E45" w:rsidRDefault="000C4301">
      <w:pPr>
        <w:pStyle w:val="MediumGrid1-Accent21"/>
        <w:spacing w:after="0" w:line="240" w:lineRule="auto"/>
        <w:ind w:left="0"/>
        <w:rPr>
          <w:rFonts w:asciiTheme="minorHAnsi" w:hAnsiTheme="minorHAnsi" w:cstheme="minorHAnsi"/>
        </w:rPr>
      </w:pPr>
    </w:p>
    <w:p w14:paraId="41AFC6F5" w14:textId="44A73254" w:rsidR="000C4301" w:rsidRPr="003A1E45" w:rsidRDefault="005672DF">
      <w:pPr>
        <w:pStyle w:val="MediumGrid1-Accent21"/>
        <w:numPr>
          <w:ilvl w:val="0"/>
          <w:numId w:val="6"/>
        </w:numPr>
        <w:spacing w:after="0" w:line="240" w:lineRule="auto"/>
        <w:rPr>
          <w:rFonts w:asciiTheme="minorHAnsi" w:hAnsiTheme="minorHAnsi" w:cstheme="minorHAnsi"/>
        </w:rPr>
      </w:pPr>
      <w:r w:rsidRPr="003A1E45">
        <w:rPr>
          <w:rFonts w:asciiTheme="minorHAnsi" w:hAnsiTheme="minorHAnsi" w:cstheme="minorHAnsi"/>
        </w:rPr>
        <w:t xml:space="preserve">The Equity Review Officer will review the appeal, any written responses to the appeal, </w:t>
      </w:r>
      <w:r w:rsidR="005115B8" w:rsidRPr="003A1E45">
        <w:rPr>
          <w:rFonts w:asciiTheme="minorHAnsi" w:hAnsiTheme="minorHAnsi" w:cstheme="minorHAnsi"/>
        </w:rPr>
        <w:t xml:space="preserve">and </w:t>
      </w:r>
      <w:r w:rsidRPr="003A1E45">
        <w:rPr>
          <w:rFonts w:asciiTheme="minorHAnsi" w:hAnsiTheme="minorHAnsi" w:cstheme="minorHAnsi"/>
        </w:rPr>
        <w:t xml:space="preserve">the investigation report.  The Equity Review Officer may request other relevant documents or information necessary </w:t>
      </w:r>
      <w:proofErr w:type="gramStart"/>
      <w:r w:rsidRPr="003A1E45">
        <w:rPr>
          <w:rFonts w:asciiTheme="minorHAnsi" w:hAnsiTheme="minorHAnsi" w:cstheme="minorHAnsi"/>
        </w:rPr>
        <w:t>to</w:t>
      </w:r>
      <w:proofErr w:type="gramEnd"/>
      <w:r w:rsidRPr="003A1E45">
        <w:rPr>
          <w:rFonts w:asciiTheme="minorHAnsi" w:hAnsiTheme="minorHAnsi" w:cstheme="minorHAnsi"/>
        </w:rPr>
        <w:t xml:space="preserve"> his/her review of the appeal.  This includes requests for clarification or additional explanation from </w:t>
      </w:r>
      <w:r w:rsidR="00C86217">
        <w:rPr>
          <w:rFonts w:asciiTheme="minorHAnsi" w:hAnsiTheme="minorHAnsi" w:cstheme="minorHAnsi"/>
        </w:rPr>
        <w:t>ISR</w:t>
      </w:r>
      <w:r w:rsidRPr="003A1E45">
        <w:rPr>
          <w:rFonts w:asciiTheme="minorHAnsi" w:hAnsiTheme="minorHAnsi" w:cstheme="minorHAnsi"/>
        </w:rPr>
        <w:t xml:space="preserve">.  If clarification or additional explanation is provided by </w:t>
      </w:r>
      <w:r w:rsidR="00C86217">
        <w:rPr>
          <w:rFonts w:asciiTheme="minorHAnsi" w:hAnsiTheme="minorHAnsi" w:cstheme="minorHAnsi"/>
        </w:rPr>
        <w:t>ISR</w:t>
      </w:r>
      <w:r w:rsidR="005115B8" w:rsidRPr="003A1E45">
        <w:rPr>
          <w:rFonts w:asciiTheme="minorHAnsi" w:hAnsiTheme="minorHAnsi" w:cstheme="minorHAnsi"/>
        </w:rPr>
        <w:t xml:space="preserve"> </w:t>
      </w:r>
      <w:r w:rsidRPr="003A1E45">
        <w:rPr>
          <w:rFonts w:asciiTheme="minorHAnsi" w:hAnsiTheme="minorHAnsi" w:cstheme="minorHAnsi"/>
        </w:rPr>
        <w:t>as part of the appeal review, it will be shared with the parties, who will be given an opportunity to provide further comment to the Equity Review Officer before the appeal decision is made.</w:t>
      </w:r>
    </w:p>
    <w:p w14:paraId="389B8C30" w14:textId="5E844D00" w:rsidR="000C4301" w:rsidRPr="00007E60" w:rsidRDefault="005672DF" w:rsidP="00007E60">
      <w:pPr>
        <w:pStyle w:val="MediumGrid1-Accent21"/>
        <w:spacing w:after="0" w:line="240" w:lineRule="auto"/>
        <w:rPr>
          <w:rFonts w:asciiTheme="minorHAnsi" w:hAnsiTheme="minorHAnsi" w:cstheme="minorHAnsi"/>
        </w:rPr>
      </w:pPr>
      <w:r w:rsidRPr="003A1E45">
        <w:rPr>
          <w:rFonts w:asciiTheme="minorHAnsi" w:hAnsiTheme="minorHAnsi" w:cstheme="minorHAnsi"/>
        </w:rPr>
        <w:t xml:space="preserve">  </w:t>
      </w:r>
    </w:p>
    <w:p w14:paraId="425DCEED" w14:textId="02FA09AF" w:rsidR="000C4301" w:rsidRPr="003A1E45" w:rsidRDefault="005672DF">
      <w:pPr>
        <w:pStyle w:val="MediumGrid1-Accent21"/>
        <w:numPr>
          <w:ilvl w:val="0"/>
          <w:numId w:val="6"/>
        </w:numPr>
        <w:spacing w:after="0" w:line="240" w:lineRule="auto"/>
        <w:rPr>
          <w:rFonts w:asciiTheme="minorHAnsi" w:hAnsiTheme="minorHAnsi" w:cstheme="minorHAnsi"/>
        </w:rPr>
      </w:pPr>
      <w:r w:rsidRPr="003A1E45">
        <w:rPr>
          <w:rFonts w:asciiTheme="minorHAnsi" w:hAnsiTheme="minorHAnsi" w:cstheme="minorHAnsi"/>
        </w:rPr>
        <w:t xml:space="preserve">The Equity Review Officer will issue a written decision within </w:t>
      </w:r>
      <w:r w:rsidR="00256934" w:rsidRPr="003A1E45">
        <w:rPr>
          <w:rFonts w:asciiTheme="minorHAnsi" w:hAnsiTheme="minorHAnsi" w:cstheme="minorHAnsi"/>
        </w:rPr>
        <w:t xml:space="preserve">18 </w:t>
      </w:r>
      <w:r w:rsidR="00007E60">
        <w:rPr>
          <w:rFonts w:asciiTheme="minorHAnsi" w:hAnsiTheme="minorHAnsi" w:cstheme="minorHAnsi"/>
        </w:rPr>
        <w:t xml:space="preserve">business </w:t>
      </w:r>
      <w:r w:rsidRPr="003A1E45">
        <w:rPr>
          <w:rFonts w:asciiTheme="minorHAnsi" w:hAnsiTheme="minorHAnsi" w:cstheme="minorHAnsi"/>
        </w:rPr>
        <w:t>days of receiving the appeal documents</w:t>
      </w:r>
      <w:r w:rsidR="00007E60">
        <w:rPr>
          <w:rFonts w:asciiTheme="minorHAnsi" w:hAnsiTheme="minorHAnsi" w:cstheme="minorHAnsi"/>
        </w:rPr>
        <w:t>, including any response to the appeal</w:t>
      </w:r>
      <w:r w:rsidRPr="003A1E45">
        <w:rPr>
          <w:rFonts w:asciiTheme="minorHAnsi" w:hAnsiTheme="minorHAnsi" w:cstheme="minorHAnsi"/>
        </w:rPr>
        <w:t xml:space="preserve">.  </w:t>
      </w:r>
    </w:p>
    <w:p w14:paraId="23D82A7F" w14:textId="77777777" w:rsidR="000C4301" w:rsidRPr="003A1E45" w:rsidRDefault="000C4301">
      <w:pPr>
        <w:pStyle w:val="ListParagraph"/>
        <w:spacing w:after="0"/>
        <w:rPr>
          <w:rFonts w:cstheme="minorHAnsi"/>
        </w:rPr>
      </w:pPr>
    </w:p>
    <w:p w14:paraId="36E32028" w14:textId="1A2ADE9E" w:rsidR="000C4301" w:rsidRPr="003A1E45" w:rsidRDefault="006B013D">
      <w:pPr>
        <w:pStyle w:val="MediumGrid1-Accent21"/>
        <w:numPr>
          <w:ilvl w:val="0"/>
          <w:numId w:val="6"/>
        </w:numPr>
        <w:spacing w:after="0" w:line="240" w:lineRule="auto"/>
        <w:rPr>
          <w:rFonts w:asciiTheme="minorHAnsi" w:hAnsiTheme="minorHAnsi" w:cstheme="minorHAnsi"/>
        </w:rPr>
      </w:pPr>
      <w:r w:rsidRPr="003A1E45">
        <w:rPr>
          <w:rFonts w:asciiTheme="minorHAnsi" w:hAnsiTheme="minorHAnsi" w:cstheme="minorHAnsi"/>
        </w:rPr>
        <w:t>In an appeal of</w:t>
      </w:r>
      <w:r w:rsidR="005672DF" w:rsidRPr="003A1E45">
        <w:rPr>
          <w:rFonts w:asciiTheme="minorHAnsi" w:hAnsiTheme="minorHAnsi" w:cstheme="minorHAnsi"/>
        </w:rPr>
        <w:t xml:space="preserve"> finding</w:t>
      </w:r>
      <w:r w:rsidRPr="003A1E45">
        <w:rPr>
          <w:rFonts w:asciiTheme="minorHAnsi" w:hAnsiTheme="minorHAnsi" w:cstheme="minorHAnsi"/>
        </w:rPr>
        <w:t>(s) issued</w:t>
      </w:r>
      <w:r w:rsidR="00CC4A46" w:rsidRPr="003A1E45">
        <w:rPr>
          <w:rFonts w:asciiTheme="minorHAnsi" w:hAnsiTheme="minorHAnsi" w:cstheme="minorHAnsi"/>
        </w:rPr>
        <w:t xml:space="preserve"> by </w:t>
      </w:r>
      <w:r w:rsidR="0017779F">
        <w:rPr>
          <w:rFonts w:asciiTheme="minorHAnsi" w:hAnsiTheme="minorHAnsi" w:cstheme="minorHAnsi"/>
        </w:rPr>
        <w:t>ISR</w:t>
      </w:r>
      <w:r w:rsidR="005672DF" w:rsidRPr="003A1E45">
        <w:rPr>
          <w:rFonts w:asciiTheme="minorHAnsi" w:hAnsiTheme="minorHAnsi" w:cstheme="minorHAnsi"/>
        </w:rPr>
        <w:t xml:space="preserve">, the Equity Review Officer may: </w:t>
      </w:r>
    </w:p>
    <w:p w14:paraId="42556617" w14:textId="77777777" w:rsidR="000C4301" w:rsidRPr="003A1E45" w:rsidRDefault="000C4301">
      <w:pPr>
        <w:pStyle w:val="MediumGrid1-Accent21"/>
        <w:spacing w:after="0" w:line="240" w:lineRule="auto"/>
        <w:ind w:left="0"/>
        <w:rPr>
          <w:rFonts w:asciiTheme="minorHAnsi" w:hAnsiTheme="minorHAnsi" w:cstheme="minorHAnsi"/>
        </w:rPr>
      </w:pPr>
    </w:p>
    <w:p w14:paraId="613A45BD" w14:textId="77777777" w:rsidR="000C4301" w:rsidRPr="003A1E45" w:rsidRDefault="005672DF">
      <w:pPr>
        <w:pStyle w:val="MediumGrid1-Accent21"/>
        <w:numPr>
          <w:ilvl w:val="0"/>
          <w:numId w:val="4"/>
        </w:numPr>
        <w:spacing w:after="0" w:line="240" w:lineRule="auto"/>
        <w:rPr>
          <w:rFonts w:asciiTheme="minorHAnsi" w:hAnsiTheme="minorHAnsi" w:cstheme="minorHAnsi"/>
        </w:rPr>
      </w:pPr>
      <w:r w:rsidRPr="003A1E45">
        <w:rPr>
          <w:rFonts w:asciiTheme="minorHAnsi" w:hAnsiTheme="minorHAnsi" w:cstheme="minorHAnsi"/>
        </w:rPr>
        <w:t>Uphold the finding;</w:t>
      </w:r>
    </w:p>
    <w:p w14:paraId="13924525" w14:textId="77777777" w:rsidR="000C4301" w:rsidRPr="003A1E45" w:rsidRDefault="000C4301">
      <w:pPr>
        <w:pStyle w:val="MediumGrid1-Accent21"/>
        <w:spacing w:after="0" w:line="240" w:lineRule="auto"/>
        <w:ind w:left="1440"/>
        <w:rPr>
          <w:rFonts w:asciiTheme="minorHAnsi" w:hAnsiTheme="minorHAnsi" w:cstheme="minorHAnsi"/>
        </w:rPr>
      </w:pPr>
    </w:p>
    <w:p w14:paraId="6D735BFA" w14:textId="62AFC761" w:rsidR="000C4301" w:rsidRPr="003A1E45" w:rsidRDefault="005672DF">
      <w:pPr>
        <w:pStyle w:val="MediumGrid1-Accent21"/>
        <w:numPr>
          <w:ilvl w:val="0"/>
          <w:numId w:val="4"/>
        </w:numPr>
        <w:spacing w:after="0" w:line="240" w:lineRule="auto"/>
        <w:rPr>
          <w:rFonts w:asciiTheme="minorHAnsi" w:hAnsiTheme="minorHAnsi" w:cstheme="minorHAnsi"/>
        </w:rPr>
      </w:pPr>
      <w:r w:rsidRPr="003A1E45">
        <w:rPr>
          <w:rFonts w:asciiTheme="minorHAnsi" w:hAnsiTheme="minorHAnsi" w:cstheme="minorHAnsi"/>
        </w:rPr>
        <w:t xml:space="preserve">Determine that </w:t>
      </w:r>
      <w:r w:rsidR="00256934" w:rsidRPr="003A1E45">
        <w:rPr>
          <w:rFonts w:asciiTheme="minorHAnsi" w:hAnsiTheme="minorHAnsi" w:cstheme="minorHAnsi"/>
        </w:rPr>
        <w:t>procedural irregularity</w:t>
      </w:r>
      <w:r w:rsidRPr="003A1E45">
        <w:rPr>
          <w:rFonts w:asciiTheme="minorHAnsi" w:hAnsiTheme="minorHAnsi" w:cstheme="minorHAnsi"/>
        </w:rPr>
        <w:t xml:space="preserve"> </w:t>
      </w:r>
      <w:r w:rsidR="00256934" w:rsidRPr="003A1E45">
        <w:rPr>
          <w:rFonts w:asciiTheme="minorHAnsi" w:hAnsiTheme="minorHAnsi" w:cstheme="minorHAnsi"/>
        </w:rPr>
        <w:t xml:space="preserve">occurred and affected the outcome </w:t>
      </w:r>
      <w:r w:rsidRPr="003A1E45">
        <w:rPr>
          <w:rFonts w:asciiTheme="minorHAnsi" w:hAnsiTheme="minorHAnsi" w:cstheme="minorHAnsi"/>
        </w:rPr>
        <w:t xml:space="preserve">and </w:t>
      </w:r>
      <w:proofErr w:type="gramStart"/>
      <w:r w:rsidRPr="003A1E45">
        <w:rPr>
          <w:rFonts w:asciiTheme="minorHAnsi" w:hAnsiTheme="minorHAnsi" w:cstheme="minorHAnsi"/>
        </w:rPr>
        <w:t>remand</w:t>
      </w:r>
      <w:proofErr w:type="gramEnd"/>
      <w:r w:rsidRPr="003A1E45">
        <w:rPr>
          <w:rFonts w:asciiTheme="minorHAnsi" w:hAnsiTheme="minorHAnsi" w:cstheme="minorHAnsi"/>
        </w:rPr>
        <w:t xml:space="preserve"> the matter to </w:t>
      </w:r>
      <w:r w:rsidR="006219CA">
        <w:rPr>
          <w:rFonts w:asciiTheme="minorHAnsi" w:hAnsiTheme="minorHAnsi" w:cstheme="minorHAnsi"/>
        </w:rPr>
        <w:t>ISR</w:t>
      </w:r>
      <w:r w:rsidRPr="003A1E45">
        <w:rPr>
          <w:rFonts w:asciiTheme="minorHAnsi" w:hAnsiTheme="minorHAnsi" w:cstheme="minorHAnsi"/>
        </w:rPr>
        <w:t xml:space="preserve"> with instructions to remedy the procedural </w:t>
      </w:r>
      <w:r w:rsidR="00256934" w:rsidRPr="003A1E45">
        <w:rPr>
          <w:rFonts w:asciiTheme="minorHAnsi" w:hAnsiTheme="minorHAnsi" w:cstheme="minorHAnsi"/>
        </w:rPr>
        <w:t>irregularity</w:t>
      </w:r>
      <w:r w:rsidRPr="003A1E45">
        <w:rPr>
          <w:rFonts w:asciiTheme="minorHAnsi" w:hAnsiTheme="minorHAnsi" w:cstheme="minorHAnsi"/>
        </w:rPr>
        <w:t xml:space="preserve">; </w:t>
      </w:r>
    </w:p>
    <w:p w14:paraId="7D9C8738" w14:textId="77777777" w:rsidR="000C4301" w:rsidRPr="003A1E45" w:rsidRDefault="000C4301">
      <w:pPr>
        <w:pStyle w:val="MediumGrid1-Accent21"/>
        <w:spacing w:after="0" w:line="240" w:lineRule="auto"/>
        <w:ind w:left="1440"/>
        <w:rPr>
          <w:rFonts w:asciiTheme="minorHAnsi" w:hAnsiTheme="minorHAnsi" w:cstheme="minorHAnsi"/>
        </w:rPr>
      </w:pPr>
    </w:p>
    <w:p w14:paraId="78FC63DB" w14:textId="72986FD0" w:rsidR="000C4301" w:rsidRPr="003A1E45" w:rsidRDefault="005672DF">
      <w:pPr>
        <w:pStyle w:val="MediumGrid1-Accent21"/>
        <w:numPr>
          <w:ilvl w:val="0"/>
          <w:numId w:val="4"/>
        </w:numPr>
        <w:spacing w:after="0" w:line="240" w:lineRule="auto"/>
        <w:rPr>
          <w:rFonts w:asciiTheme="minorHAnsi" w:hAnsiTheme="minorHAnsi" w:cstheme="minorHAnsi"/>
        </w:rPr>
      </w:pPr>
      <w:r w:rsidRPr="003A1E45">
        <w:rPr>
          <w:rFonts w:asciiTheme="minorHAnsi" w:hAnsiTheme="minorHAnsi" w:cstheme="minorHAnsi"/>
        </w:rPr>
        <w:t xml:space="preserve">Determine that the </w:t>
      </w:r>
      <w:r w:rsidR="006B013D" w:rsidRPr="003A1E45">
        <w:rPr>
          <w:rFonts w:asciiTheme="minorHAnsi" w:hAnsiTheme="minorHAnsi" w:cstheme="minorHAnsi"/>
        </w:rPr>
        <w:t>finding is</w:t>
      </w:r>
      <w:r w:rsidRPr="003A1E45">
        <w:rPr>
          <w:rFonts w:asciiTheme="minorHAnsi" w:hAnsiTheme="minorHAnsi" w:cstheme="minorHAnsi"/>
        </w:rPr>
        <w:t xml:space="preserve"> arbitrary and capricious as written and </w:t>
      </w:r>
      <w:proofErr w:type="gramStart"/>
      <w:r w:rsidRPr="003A1E45">
        <w:rPr>
          <w:rFonts w:asciiTheme="minorHAnsi" w:hAnsiTheme="minorHAnsi" w:cstheme="minorHAnsi"/>
        </w:rPr>
        <w:t>remand to</w:t>
      </w:r>
      <w:proofErr w:type="gramEnd"/>
      <w:r w:rsidRPr="003A1E45">
        <w:rPr>
          <w:rFonts w:asciiTheme="minorHAnsi" w:hAnsiTheme="minorHAnsi" w:cstheme="minorHAnsi"/>
        </w:rPr>
        <w:t xml:space="preserve"> </w:t>
      </w:r>
      <w:r w:rsidR="006219CA">
        <w:rPr>
          <w:rFonts w:asciiTheme="minorHAnsi" w:hAnsiTheme="minorHAnsi" w:cstheme="minorHAnsi"/>
        </w:rPr>
        <w:t>ISR</w:t>
      </w:r>
      <w:r w:rsidRPr="003A1E45">
        <w:rPr>
          <w:rFonts w:asciiTheme="minorHAnsi" w:hAnsiTheme="minorHAnsi" w:cstheme="minorHAnsi"/>
        </w:rPr>
        <w:t xml:space="preserve"> to issue a revised </w:t>
      </w:r>
      <w:r w:rsidR="00F14B66" w:rsidRPr="003A1E45">
        <w:rPr>
          <w:rFonts w:asciiTheme="minorHAnsi" w:hAnsiTheme="minorHAnsi" w:cstheme="minorHAnsi"/>
        </w:rPr>
        <w:t>finding</w:t>
      </w:r>
      <w:r w:rsidRPr="003A1E45">
        <w:rPr>
          <w:rFonts w:asciiTheme="minorHAnsi" w:hAnsiTheme="minorHAnsi" w:cstheme="minorHAnsi"/>
        </w:rPr>
        <w:t xml:space="preserve">; </w:t>
      </w:r>
    </w:p>
    <w:p w14:paraId="058FB3C9" w14:textId="77777777" w:rsidR="000C4301" w:rsidRPr="003A1E45" w:rsidRDefault="000C4301" w:rsidP="004220BF">
      <w:pPr>
        <w:pStyle w:val="ListParagraph"/>
        <w:spacing w:after="0"/>
        <w:rPr>
          <w:rFonts w:cstheme="minorHAnsi"/>
        </w:rPr>
      </w:pPr>
    </w:p>
    <w:p w14:paraId="74F0D6CC" w14:textId="0172C139" w:rsidR="000C4301" w:rsidRPr="003A1E45" w:rsidRDefault="005672DF">
      <w:pPr>
        <w:pStyle w:val="MediumGrid1-Accent21"/>
        <w:numPr>
          <w:ilvl w:val="0"/>
          <w:numId w:val="4"/>
        </w:numPr>
        <w:spacing w:after="0" w:line="240" w:lineRule="auto"/>
        <w:rPr>
          <w:rFonts w:asciiTheme="minorHAnsi" w:hAnsiTheme="minorHAnsi" w:cstheme="minorHAnsi"/>
        </w:rPr>
      </w:pPr>
      <w:r w:rsidRPr="003A1E45">
        <w:rPr>
          <w:rFonts w:asciiTheme="minorHAnsi" w:hAnsiTheme="minorHAnsi" w:cstheme="minorHAnsi"/>
        </w:rPr>
        <w:t xml:space="preserve">Determine that substantive and relevant new evidence has been presented that warrants additional investigation or review by </w:t>
      </w:r>
      <w:r w:rsidR="006219CA">
        <w:rPr>
          <w:rFonts w:asciiTheme="minorHAnsi" w:hAnsiTheme="minorHAnsi" w:cstheme="minorHAnsi"/>
        </w:rPr>
        <w:t>ISR</w:t>
      </w:r>
      <w:r w:rsidRPr="003A1E45">
        <w:rPr>
          <w:rFonts w:asciiTheme="minorHAnsi" w:hAnsiTheme="minorHAnsi" w:cstheme="minorHAnsi"/>
        </w:rPr>
        <w:t xml:space="preserve">; or </w:t>
      </w:r>
    </w:p>
    <w:p w14:paraId="566D3377" w14:textId="77777777" w:rsidR="000C4301" w:rsidRPr="003A1E45" w:rsidRDefault="000C4301">
      <w:pPr>
        <w:pStyle w:val="ListParagraph"/>
        <w:spacing w:after="0"/>
        <w:rPr>
          <w:rFonts w:cstheme="minorHAnsi"/>
        </w:rPr>
      </w:pPr>
    </w:p>
    <w:p w14:paraId="365C30AD" w14:textId="0F9733D3" w:rsidR="000C4301" w:rsidRPr="003A1E45" w:rsidRDefault="005672DF">
      <w:pPr>
        <w:pStyle w:val="MediumGrid1-Accent21"/>
        <w:numPr>
          <w:ilvl w:val="0"/>
          <w:numId w:val="4"/>
        </w:numPr>
        <w:spacing w:after="0" w:line="240" w:lineRule="auto"/>
        <w:rPr>
          <w:rFonts w:asciiTheme="minorHAnsi" w:hAnsiTheme="minorHAnsi" w:cstheme="minorHAnsi"/>
        </w:rPr>
      </w:pPr>
      <w:r w:rsidRPr="003A1E45">
        <w:rPr>
          <w:rFonts w:asciiTheme="minorHAnsi" w:hAnsiTheme="minorHAnsi" w:cstheme="minorHAnsi"/>
        </w:rPr>
        <w:t xml:space="preserve">Overturn or modify the investigation </w:t>
      </w:r>
      <w:proofErr w:type="gramStart"/>
      <w:r w:rsidRPr="003A1E45">
        <w:rPr>
          <w:rFonts w:asciiTheme="minorHAnsi" w:hAnsiTheme="minorHAnsi" w:cstheme="minorHAnsi"/>
        </w:rPr>
        <w:t>finding</w:t>
      </w:r>
      <w:proofErr w:type="gramEnd"/>
      <w:r w:rsidRPr="003A1E45">
        <w:rPr>
          <w:rFonts w:asciiTheme="minorHAnsi" w:hAnsiTheme="minorHAnsi" w:cstheme="minorHAnsi"/>
        </w:rPr>
        <w:t xml:space="preserve"> based on a determination that the decision was arbitrary and capricious or resulted from procedural </w:t>
      </w:r>
      <w:proofErr w:type="gramStart"/>
      <w:r w:rsidRPr="003A1E45">
        <w:rPr>
          <w:rFonts w:asciiTheme="minorHAnsi" w:hAnsiTheme="minorHAnsi" w:cstheme="minorHAnsi"/>
        </w:rPr>
        <w:t>error</w:t>
      </w:r>
      <w:proofErr w:type="gramEnd"/>
      <w:r w:rsidRPr="003A1E45">
        <w:rPr>
          <w:rFonts w:asciiTheme="minorHAnsi" w:hAnsiTheme="minorHAnsi" w:cstheme="minorHAnsi"/>
        </w:rPr>
        <w:t>.</w:t>
      </w:r>
    </w:p>
    <w:p w14:paraId="7C47DB0B" w14:textId="77777777" w:rsidR="003A1E45" w:rsidRPr="003A1E45" w:rsidRDefault="003A1E45" w:rsidP="003A1E45">
      <w:pPr>
        <w:pStyle w:val="ListParagraph"/>
        <w:rPr>
          <w:rFonts w:cstheme="minorHAnsi"/>
        </w:rPr>
      </w:pPr>
    </w:p>
    <w:p w14:paraId="1EA0FFD5" w14:textId="619AF8A9" w:rsidR="003A1E45" w:rsidRPr="003A1E45" w:rsidRDefault="003A1E45" w:rsidP="003A1E45">
      <w:pPr>
        <w:pStyle w:val="MediumGrid1-Accent21"/>
        <w:numPr>
          <w:ilvl w:val="0"/>
          <w:numId w:val="6"/>
        </w:numPr>
        <w:spacing w:after="0" w:line="240" w:lineRule="auto"/>
        <w:rPr>
          <w:rFonts w:asciiTheme="minorHAnsi" w:hAnsiTheme="minorHAnsi" w:cstheme="minorHAnsi"/>
        </w:rPr>
      </w:pPr>
      <w:r w:rsidRPr="003A1E45">
        <w:rPr>
          <w:rFonts w:asciiTheme="minorHAnsi" w:hAnsiTheme="minorHAnsi" w:cstheme="minorHAnsi"/>
        </w:rPr>
        <w:t xml:space="preserve">In appeals of a student sanction, the Equity Review Officer may uphold the sanction or alter the sanction if it is determined that the sanction is clearly inappropriate or is not commensurate with the seriousness of the offense. </w:t>
      </w:r>
    </w:p>
    <w:p w14:paraId="6B97CB5A" w14:textId="77777777" w:rsidR="000C4301" w:rsidRPr="003A1E45" w:rsidRDefault="000C4301" w:rsidP="005115B8">
      <w:pPr>
        <w:pStyle w:val="MediumGrid1-Accent21"/>
        <w:ind w:left="0"/>
        <w:rPr>
          <w:rFonts w:asciiTheme="minorHAnsi" w:hAnsiTheme="minorHAnsi" w:cstheme="minorHAnsi"/>
        </w:rPr>
      </w:pPr>
    </w:p>
    <w:p w14:paraId="39611ED4" w14:textId="77777777" w:rsidR="000C4301" w:rsidRPr="003A1E45" w:rsidRDefault="005672DF">
      <w:pPr>
        <w:pStyle w:val="MediumGrid1-Accent21"/>
        <w:numPr>
          <w:ilvl w:val="0"/>
          <w:numId w:val="6"/>
        </w:numPr>
        <w:spacing w:after="0" w:line="240" w:lineRule="auto"/>
        <w:rPr>
          <w:rFonts w:asciiTheme="minorHAnsi" w:hAnsiTheme="minorHAnsi" w:cstheme="minorHAnsi"/>
        </w:rPr>
      </w:pPr>
      <w:r w:rsidRPr="003A1E45">
        <w:rPr>
          <w:rFonts w:asciiTheme="minorHAnsi" w:hAnsiTheme="minorHAnsi" w:cstheme="minorHAnsi"/>
        </w:rPr>
        <w:t>The decision of the Equity Review Officer is final and is not subject to appeal.</w:t>
      </w:r>
    </w:p>
    <w:p w14:paraId="5DE86A7A" w14:textId="77777777" w:rsidR="000C4301" w:rsidRPr="003A1E45" w:rsidRDefault="000C4301">
      <w:pPr>
        <w:pStyle w:val="MediumGrid1-Accent21"/>
        <w:spacing w:after="0" w:line="240" w:lineRule="auto"/>
        <w:rPr>
          <w:rFonts w:asciiTheme="minorHAnsi" w:hAnsiTheme="minorHAnsi" w:cstheme="minorHAnsi"/>
        </w:rPr>
      </w:pPr>
    </w:p>
    <w:p w14:paraId="3849C4C1" w14:textId="77777777" w:rsidR="000C4301" w:rsidRPr="003A1E45" w:rsidRDefault="005672DF">
      <w:pPr>
        <w:pStyle w:val="ListParagraph"/>
        <w:numPr>
          <w:ilvl w:val="0"/>
          <w:numId w:val="5"/>
        </w:numPr>
        <w:spacing w:after="0" w:line="240" w:lineRule="auto"/>
        <w:ind w:left="360" w:hanging="360"/>
        <w:contextualSpacing w:val="0"/>
        <w:rPr>
          <w:rFonts w:cstheme="minorHAnsi"/>
          <w:b/>
        </w:rPr>
      </w:pPr>
      <w:r w:rsidRPr="003A1E45">
        <w:rPr>
          <w:rFonts w:cstheme="minorHAnsi"/>
          <w:b/>
        </w:rPr>
        <w:t>TIMEFRAMES</w:t>
      </w:r>
    </w:p>
    <w:p w14:paraId="010DF250" w14:textId="77777777" w:rsidR="000C4301" w:rsidRPr="003A1E45" w:rsidRDefault="000C4301">
      <w:pPr>
        <w:spacing w:after="0" w:line="240" w:lineRule="auto"/>
        <w:rPr>
          <w:rFonts w:cstheme="minorHAnsi"/>
        </w:rPr>
      </w:pPr>
    </w:p>
    <w:p w14:paraId="0F15A482" w14:textId="77777777" w:rsidR="000C4301" w:rsidRPr="003A1E45" w:rsidRDefault="005672DF">
      <w:pPr>
        <w:spacing w:after="0" w:line="240" w:lineRule="auto"/>
        <w:rPr>
          <w:rFonts w:cstheme="minorHAnsi"/>
        </w:rPr>
      </w:pPr>
      <w:r w:rsidRPr="003A1E45">
        <w:rPr>
          <w:rFonts w:cstheme="minorHAnsi"/>
        </w:rPr>
        <w:t xml:space="preserve">The timeframes in this document may be extended for good cause, as determined by the Equity Review Officer, provided that the parties are provided with notice of the extension.  Good cause is typically found where circumstances outside of a party’s control would prevent that party from complying with the deadline. Requests for extensions should be made to the Equity Review Officer before the deadline has expired and explain why there is good cause for the extension. </w:t>
      </w:r>
    </w:p>
    <w:p w14:paraId="4C54C09B" w14:textId="77777777" w:rsidR="000C4301" w:rsidRPr="003A1E45" w:rsidRDefault="000C4301">
      <w:pPr>
        <w:spacing w:after="0" w:line="240" w:lineRule="auto"/>
        <w:ind w:left="720"/>
        <w:rPr>
          <w:rFonts w:cstheme="minorHAnsi"/>
        </w:rPr>
      </w:pPr>
    </w:p>
    <w:p w14:paraId="6A6DD42F" w14:textId="77777777" w:rsidR="000C4301" w:rsidRPr="003A1E45" w:rsidRDefault="005672DF">
      <w:pPr>
        <w:pStyle w:val="ListParagraph"/>
        <w:numPr>
          <w:ilvl w:val="0"/>
          <w:numId w:val="5"/>
        </w:numPr>
        <w:spacing w:after="0" w:line="240" w:lineRule="auto"/>
        <w:ind w:left="360" w:hanging="360"/>
        <w:contextualSpacing w:val="0"/>
        <w:rPr>
          <w:rFonts w:cstheme="minorHAnsi"/>
          <w:b/>
        </w:rPr>
      </w:pPr>
      <w:r w:rsidRPr="003A1E45">
        <w:rPr>
          <w:rFonts w:cstheme="minorHAnsi"/>
          <w:b/>
        </w:rPr>
        <w:t xml:space="preserve">ELECTRONIC SUBMISSIONS </w:t>
      </w:r>
    </w:p>
    <w:p w14:paraId="1271F761" w14:textId="77777777" w:rsidR="000C4301" w:rsidRPr="003A1E45" w:rsidRDefault="000C4301">
      <w:pPr>
        <w:spacing w:after="0" w:line="240" w:lineRule="auto"/>
        <w:rPr>
          <w:rFonts w:cstheme="minorHAnsi"/>
        </w:rPr>
      </w:pPr>
    </w:p>
    <w:p w14:paraId="392BF1B8" w14:textId="2C23E431" w:rsidR="000C4301" w:rsidRPr="003A1E45" w:rsidRDefault="005672DF">
      <w:pPr>
        <w:spacing w:after="0" w:line="240" w:lineRule="auto"/>
        <w:rPr>
          <w:rFonts w:cstheme="minorHAnsi"/>
        </w:rPr>
      </w:pPr>
      <w:r w:rsidRPr="003A1E45">
        <w:rPr>
          <w:rFonts w:cstheme="minorHAnsi"/>
        </w:rPr>
        <w:t xml:space="preserve">All appeals, responses, and other documents submitted through this process should be submitted electronically to the Equity Review Officer at </w:t>
      </w:r>
      <w:hyperlink r:id="rId8" w:history="1">
        <w:r w:rsidRPr="003A1E45">
          <w:rPr>
            <w:rStyle w:val="Hyperlink"/>
            <w:rFonts w:cstheme="minorHAnsi"/>
          </w:rPr>
          <w:t>ERO@msu.edu</w:t>
        </w:r>
      </w:hyperlink>
      <w:r w:rsidRPr="003A1E45">
        <w:rPr>
          <w:rFonts w:cstheme="minorHAnsi"/>
        </w:rPr>
        <w:t xml:space="preserve">.  </w:t>
      </w:r>
    </w:p>
    <w:p w14:paraId="65E5037F" w14:textId="77777777" w:rsidR="000C4301" w:rsidRPr="003A1E45" w:rsidRDefault="000C4301">
      <w:pPr>
        <w:spacing w:after="0" w:line="240" w:lineRule="auto"/>
        <w:rPr>
          <w:rFonts w:cstheme="minorHAnsi"/>
        </w:rPr>
      </w:pPr>
    </w:p>
    <w:p w14:paraId="1DC40F4F" w14:textId="77777777" w:rsidR="000C4301" w:rsidRPr="003A1E45" w:rsidRDefault="005672DF">
      <w:pPr>
        <w:pStyle w:val="ListParagraph"/>
        <w:numPr>
          <w:ilvl w:val="0"/>
          <w:numId w:val="5"/>
        </w:numPr>
        <w:spacing w:after="0" w:line="240" w:lineRule="auto"/>
        <w:ind w:left="360" w:hanging="360"/>
        <w:contextualSpacing w:val="0"/>
        <w:rPr>
          <w:rFonts w:cstheme="minorHAnsi"/>
          <w:b/>
        </w:rPr>
      </w:pPr>
      <w:r w:rsidRPr="003A1E45">
        <w:rPr>
          <w:rFonts w:cstheme="minorHAnsi"/>
          <w:b/>
        </w:rPr>
        <w:t>PRIVACY</w:t>
      </w:r>
    </w:p>
    <w:p w14:paraId="058BF9F5" w14:textId="77777777" w:rsidR="000C4301" w:rsidRPr="003A1E45" w:rsidRDefault="000C4301">
      <w:pPr>
        <w:spacing w:after="0" w:line="240" w:lineRule="auto"/>
        <w:rPr>
          <w:rFonts w:cstheme="minorHAnsi"/>
        </w:rPr>
      </w:pPr>
    </w:p>
    <w:p w14:paraId="6600DE94" w14:textId="77777777" w:rsidR="000C4301" w:rsidRPr="003A1E45" w:rsidRDefault="005672DF">
      <w:pPr>
        <w:spacing w:after="0" w:line="240" w:lineRule="auto"/>
        <w:rPr>
          <w:rFonts w:cstheme="minorHAnsi"/>
        </w:rPr>
      </w:pPr>
      <w:r w:rsidRPr="003A1E45">
        <w:rPr>
          <w:rFonts w:cstheme="minorHAnsi"/>
        </w:rPr>
        <w:t xml:space="preserve">Records of the Equity Review Officer are considered private and are only shared on a </w:t>
      </w:r>
      <w:proofErr w:type="gramStart"/>
      <w:r w:rsidRPr="003A1E45">
        <w:rPr>
          <w:rFonts w:cstheme="minorHAnsi"/>
        </w:rPr>
        <w:t>need to know</w:t>
      </w:r>
      <w:proofErr w:type="gramEnd"/>
      <w:r w:rsidRPr="003A1E45">
        <w:rPr>
          <w:rFonts w:cstheme="minorHAnsi"/>
        </w:rPr>
        <w:t xml:space="preserve"> basis and as required by law. In accordance with state and federal law, the University identifies the names of respondents and student disciplinary sanctions in sexual violence cases upon receipt of </w:t>
      </w:r>
      <w:proofErr w:type="gramStart"/>
      <w:r w:rsidRPr="003A1E45">
        <w:rPr>
          <w:rFonts w:cstheme="minorHAnsi"/>
        </w:rPr>
        <w:t>public information</w:t>
      </w:r>
      <w:proofErr w:type="gramEnd"/>
      <w:r w:rsidRPr="003A1E45">
        <w:rPr>
          <w:rFonts w:cstheme="minorHAnsi"/>
        </w:rPr>
        <w:t xml:space="preserve"> requests.  The University redacts all information that might disclose the identity of an individual subjected to sexual misconduct or prohibited harassment. </w:t>
      </w:r>
    </w:p>
    <w:p w14:paraId="4A67C4E8" w14:textId="77777777" w:rsidR="000C4301" w:rsidRPr="003A1E45" w:rsidRDefault="000C4301">
      <w:pPr>
        <w:spacing w:after="0" w:line="240" w:lineRule="auto"/>
        <w:rPr>
          <w:rFonts w:cstheme="minorHAnsi"/>
        </w:rPr>
      </w:pPr>
    </w:p>
    <w:p w14:paraId="09F9DCC4" w14:textId="77777777" w:rsidR="000C4301" w:rsidRPr="003A1E45" w:rsidRDefault="000C4301">
      <w:pPr>
        <w:spacing w:after="0" w:line="240" w:lineRule="auto"/>
        <w:rPr>
          <w:rFonts w:cstheme="minorHAnsi"/>
        </w:rPr>
      </w:pPr>
    </w:p>
    <w:p w14:paraId="5196EE92" w14:textId="77777777" w:rsidR="000C4301" w:rsidRPr="003A1E45" w:rsidRDefault="000C4301">
      <w:pPr>
        <w:spacing w:after="0" w:line="240" w:lineRule="auto"/>
        <w:rPr>
          <w:rFonts w:cstheme="minorHAnsi"/>
        </w:rPr>
      </w:pPr>
    </w:p>
    <w:p w14:paraId="264B26B1" w14:textId="7B07A0B6" w:rsidR="000C4301" w:rsidRPr="003A1E45" w:rsidRDefault="005672DF" w:rsidP="009D04B5">
      <w:pPr>
        <w:spacing w:after="0" w:line="240" w:lineRule="auto"/>
        <w:outlineLvl w:val="0"/>
        <w:rPr>
          <w:rFonts w:cstheme="minorHAnsi"/>
        </w:rPr>
      </w:pPr>
      <w:r w:rsidRPr="003A1E45">
        <w:rPr>
          <w:rFonts w:cstheme="minorHAnsi"/>
        </w:rPr>
        <w:t xml:space="preserve">Version </w:t>
      </w:r>
      <w:r w:rsidR="00603F53">
        <w:rPr>
          <w:rFonts w:cstheme="minorHAnsi"/>
        </w:rPr>
        <w:t>9</w:t>
      </w:r>
      <w:r w:rsidRPr="003A1E45">
        <w:rPr>
          <w:rFonts w:cstheme="minorHAnsi"/>
        </w:rPr>
        <w:t>.0</w:t>
      </w:r>
      <w:proofErr w:type="gramStart"/>
      <w:r w:rsidRPr="003A1E45">
        <w:rPr>
          <w:rFonts w:cstheme="minorHAnsi"/>
        </w:rPr>
        <w:t>:  Effective</w:t>
      </w:r>
      <w:proofErr w:type="gramEnd"/>
      <w:r w:rsidRPr="003A1E45">
        <w:rPr>
          <w:rFonts w:cstheme="minorHAnsi"/>
        </w:rPr>
        <w:t xml:space="preserve"> </w:t>
      </w:r>
      <w:r w:rsidR="00603F53">
        <w:rPr>
          <w:rFonts w:cstheme="minorHAnsi"/>
        </w:rPr>
        <w:t>February 7</w:t>
      </w:r>
      <w:r w:rsidR="004220BF" w:rsidRPr="003A1E45">
        <w:rPr>
          <w:rFonts w:cstheme="minorHAnsi"/>
        </w:rPr>
        <w:t>,</w:t>
      </w:r>
      <w:r w:rsidRPr="003A1E45">
        <w:rPr>
          <w:rFonts w:cstheme="minorHAnsi"/>
        </w:rPr>
        <w:t xml:space="preserve"> 20</w:t>
      </w:r>
      <w:r w:rsidR="004220BF" w:rsidRPr="003A1E45">
        <w:rPr>
          <w:rFonts w:cstheme="minorHAnsi"/>
        </w:rPr>
        <w:t>2</w:t>
      </w:r>
      <w:r w:rsidR="00603F53">
        <w:rPr>
          <w:rFonts w:cstheme="minorHAnsi"/>
        </w:rPr>
        <w:t>5</w:t>
      </w:r>
    </w:p>
    <w:p w14:paraId="2C180B00" w14:textId="77777777" w:rsidR="000C4301" w:rsidRPr="003A1E45" w:rsidRDefault="000C4301">
      <w:pPr>
        <w:spacing w:line="200" w:lineRule="exact"/>
        <w:rPr>
          <w:rFonts w:cstheme="minorHAnsi"/>
        </w:rPr>
      </w:pPr>
    </w:p>
    <w:sectPr w:rsidR="000C4301" w:rsidRPr="003A1E45">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C91C5" w14:textId="77777777" w:rsidR="00C74717" w:rsidRDefault="00C74717">
      <w:pPr>
        <w:spacing w:after="0" w:line="240" w:lineRule="auto"/>
      </w:pPr>
      <w:r>
        <w:separator/>
      </w:r>
    </w:p>
  </w:endnote>
  <w:endnote w:type="continuationSeparator" w:id="0">
    <w:p w14:paraId="46E17499" w14:textId="77777777" w:rsidR="00C74717" w:rsidRDefault="00C74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2641452"/>
      <w:docPartObj>
        <w:docPartGallery w:val="Page Numbers (Bottom of Page)"/>
        <w:docPartUnique/>
      </w:docPartObj>
    </w:sdtPr>
    <w:sdtEndPr>
      <w:rPr>
        <w:rFonts w:ascii="Times New Roman" w:hAnsi="Times New Roman" w:cs="Times New Roman"/>
        <w:noProof/>
      </w:rPr>
    </w:sdtEndPr>
    <w:sdtContent>
      <w:p w14:paraId="7D7CF17C" w14:textId="77777777" w:rsidR="000C4301" w:rsidRPr="00A542AA" w:rsidRDefault="005672DF">
        <w:pPr>
          <w:pStyle w:val="Footer"/>
          <w:jc w:val="center"/>
          <w:rPr>
            <w:rFonts w:ascii="Times New Roman" w:hAnsi="Times New Roman" w:cs="Times New Roman"/>
          </w:rPr>
        </w:pPr>
        <w:r w:rsidRPr="00A542AA">
          <w:rPr>
            <w:rFonts w:ascii="Times New Roman" w:hAnsi="Times New Roman" w:cs="Times New Roman"/>
          </w:rPr>
          <w:fldChar w:fldCharType="begin"/>
        </w:r>
        <w:r w:rsidRPr="00A542AA">
          <w:rPr>
            <w:rFonts w:ascii="Times New Roman" w:hAnsi="Times New Roman" w:cs="Times New Roman"/>
          </w:rPr>
          <w:instrText xml:space="preserve"> PAGE   \* MERGEFORMAT </w:instrText>
        </w:r>
        <w:r w:rsidRPr="00A542AA">
          <w:rPr>
            <w:rFonts w:ascii="Times New Roman" w:hAnsi="Times New Roman" w:cs="Times New Roman"/>
          </w:rPr>
          <w:fldChar w:fldCharType="separate"/>
        </w:r>
        <w:r w:rsidR="00F07B98">
          <w:rPr>
            <w:rFonts w:ascii="Times New Roman" w:hAnsi="Times New Roman" w:cs="Times New Roman"/>
            <w:noProof/>
          </w:rPr>
          <w:t>3</w:t>
        </w:r>
        <w:r w:rsidRPr="00A542AA">
          <w:rPr>
            <w:rFonts w:ascii="Times New Roman" w:hAnsi="Times New Roman" w:cs="Times New Roman"/>
            <w:noProof/>
          </w:rPr>
          <w:fldChar w:fldCharType="end"/>
        </w:r>
      </w:p>
    </w:sdtContent>
  </w:sdt>
  <w:p w14:paraId="3D492B17" w14:textId="77777777" w:rsidR="000C4301" w:rsidRDefault="000C43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547D6" w14:textId="77777777" w:rsidR="00C74717" w:rsidRDefault="00C74717">
      <w:pPr>
        <w:spacing w:after="0" w:line="240" w:lineRule="auto"/>
      </w:pPr>
      <w:r>
        <w:separator/>
      </w:r>
    </w:p>
  </w:footnote>
  <w:footnote w:type="continuationSeparator" w:id="0">
    <w:p w14:paraId="01FD7288" w14:textId="77777777" w:rsidR="00C74717" w:rsidRDefault="00C747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C3B17"/>
    <w:multiLevelType w:val="multilevel"/>
    <w:tmpl w:val="39422556"/>
    <w:lvl w:ilvl="0">
      <w:start w:val="1"/>
      <w:numFmt w:val="decimal"/>
      <w:lvlText w:val="%1."/>
      <w:lvlJc w:val="left"/>
      <w:pPr>
        <w:ind w:left="2160" w:hanging="360"/>
      </w:pPr>
      <w:rPr>
        <w:b/>
        <w:bCs/>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 w15:restartNumberingAfterBreak="0">
    <w:nsid w:val="125C769C"/>
    <w:multiLevelType w:val="hybridMultilevel"/>
    <w:tmpl w:val="FF00309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65726B"/>
    <w:multiLevelType w:val="hybridMultilevel"/>
    <w:tmpl w:val="A19C8A88"/>
    <w:lvl w:ilvl="0" w:tplc="766A3BC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165589"/>
    <w:multiLevelType w:val="hybridMultilevel"/>
    <w:tmpl w:val="80B8B8F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AC19ED"/>
    <w:multiLevelType w:val="hybridMultilevel"/>
    <w:tmpl w:val="9D4C1C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8279A6"/>
    <w:multiLevelType w:val="hybridMultilevel"/>
    <w:tmpl w:val="7314595E"/>
    <w:lvl w:ilvl="0" w:tplc="58147AF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D4778B"/>
    <w:multiLevelType w:val="hybridMultilevel"/>
    <w:tmpl w:val="567A168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E3320AA"/>
    <w:multiLevelType w:val="hybridMultilevel"/>
    <w:tmpl w:val="98E060DE"/>
    <w:lvl w:ilvl="0" w:tplc="766A3BC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480AF0"/>
    <w:multiLevelType w:val="hybridMultilevel"/>
    <w:tmpl w:val="B1441FB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6F19B3"/>
    <w:multiLevelType w:val="hybridMultilevel"/>
    <w:tmpl w:val="90E65000"/>
    <w:lvl w:ilvl="0" w:tplc="766A3BC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7389676">
    <w:abstractNumId w:val="9"/>
  </w:num>
  <w:num w:numId="2" w16cid:durableId="798455728">
    <w:abstractNumId w:val="7"/>
  </w:num>
  <w:num w:numId="3" w16cid:durableId="1992054601">
    <w:abstractNumId w:val="2"/>
  </w:num>
  <w:num w:numId="4" w16cid:durableId="223371860">
    <w:abstractNumId w:val="6"/>
  </w:num>
  <w:num w:numId="5" w16cid:durableId="1040789699">
    <w:abstractNumId w:val="5"/>
  </w:num>
  <w:num w:numId="6" w16cid:durableId="888107084">
    <w:abstractNumId w:val="1"/>
  </w:num>
  <w:num w:numId="7" w16cid:durableId="349842586">
    <w:abstractNumId w:val="0"/>
  </w:num>
  <w:num w:numId="8" w16cid:durableId="728845799">
    <w:abstractNumId w:val="3"/>
  </w:num>
  <w:num w:numId="9" w16cid:durableId="24067526">
    <w:abstractNumId w:val="8"/>
  </w:num>
  <w:num w:numId="10" w16cid:durableId="75659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85TrailerType" w:val="101"/>
    <w:docVar w:name="MPDocID" w:val="32927433.2\060505-00040"/>
    <w:docVar w:name="MPDocIDLibrary" w:val="ACTIVE"/>
    <w:docVar w:name="MPDocIDTemplate" w:val="%n|.%v|\%c|-%m"/>
    <w:docVar w:name="MPDocIDTemplateDefault" w:val="%n|.%v|\%c|-%m"/>
    <w:docVar w:name="NewDocStampType" w:val="2"/>
  </w:docVars>
  <w:rsids>
    <w:rsidRoot w:val="000C4301"/>
    <w:rsid w:val="00007E60"/>
    <w:rsid w:val="000349FE"/>
    <w:rsid w:val="000B071A"/>
    <w:rsid w:val="000C4301"/>
    <w:rsid w:val="001729A5"/>
    <w:rsid w:val="0017779F"/>
    <w:rsid w:val="00256934"/>
    <w:rsid w:val="003A1E45"/>
    <w:rsid w:val="00400E23"/>
    <w:rsid w:val="00402932"/>
    <w:rsid w:val="004140E9"/>
    <w:rsid w:val="004220BF"/>
    <w:rsid w:val="00497033"/>
    <w:rsid w:val="0049787C"/>
    <w:rsid w:val="004D032D"/>
    <w:rsid w:val="005115B8"/>
    <w:rsid w:val="005672DF"/>
    <w:rsid w:val="005861A7"/>
    <w:rsid w:val="00603F53"/>
    <w:rsid w:val="00606973"/>
    <w:rsid w:val="006219CA"/>
    <w:rsid w:val="006B013D"/>
    <w:rsid w:val="007402B7"/>
    <w:rsid w:val="007C2362"/>
    <w:rsid w:val="007F4A47"/>
    <w:rsid w:val="008163FF"/>
    <w:rsid w:val="00867F66"/>
    <w:rsid w:val="009B5027"/>
    <w:rsid w:val="009C6E5B"/>
    <w:rsid w:val="009D04B5"/>
    <w:rsid w:val="009F2E20"/>
    <w:rsid w:val="00A542AA"/>
    <w:rsid w:val="00B1389D"/>
    <w:rsid w:val="00B7638C"/>
    <w:rsid w:val="00BB55F2"/>
    <w:rsid w:val="00C74717"/>
    <w:rsid w:val="00C86217"/>
    <w:rsid w:val="00CA6FEA"/>
    <w:rsid w:val="00CC4A46"/>
    <w:rsid w:val="00CC4C55"/>
    <w:rsid w:val="00CE547E"/>
    <w:rsid w:val="00D05AEB"/>
    <w:rsid w:val="00D56AF7"/>
    <w:rsid w:val="00D71B47"/>
    <w:rsid w:val="00DE1CE5"/>
    <w:rsid w:val="00E22A6F"/>
    <w:rsid w:val="00E50C70"/>
    <w:rsid w:val="00F072FF"/>
    <w:rsid w:val="00F07B98"/>
    <w:rsid w:val="00F14B66"/>
    <w:rsid w:val="00F94C06"/>
    <w:rsid w:val="00F967B2"/>
    <w:rsid w:val="00FA6802"/>
    <w:rsid w:val="00FE2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235A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MediumGrid1-Accent21">
    <w:name w:val="Medium Grid 1 - Accent 21"/>
    <w:basedOn w:val="Normal"/>
    <w:uiPriority w:val="34"/>
    <w:qFormat/>
    <w:pPr>
      <w:spacing w:after="200" w:line="276" w:lineRule="auto"/>
      <w:ind w:left="720"/>
      <w:contextualSpacing/>
    </w:pPr>
    <w:rPr>
      <w:rFonts w:ascii="Calibri" w:eastAsia="Calibri" w:hAnsi="Calibri" w:cs="Times New Roman"/>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zzmpTrailerItem">
    <w:name w:val="zzmpTrailerItem"/>
    <w:basedOn w:val="DefaultParagraphFont"/>
    <w:rPr>
      <w:rFonts w:ascii="Calibri" w:hAnsi="Calibri" w:cs="Times New Roman"/>
      <w:dstrike w:val="0"/>
      <w:noProof/>
      <w:color w:val="auto"/>
      <w:spacing w:val="0"/>
      <w:position w:val="0"/>
      <w:sz w:val="16"/>
      <w:szCs w:val="16"/>
      <w:u w:val="none"/>
      <w:effect w:val="none"/>
      <w:vertAlign w:val="baselin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043180">
      <w:bodyDiv w:val="1"/>
      <w:marLeft w:val="0"/>
      <w:marRight w:val="0"/>
      <w:marTop w:val="0"/>
      <w:marBottom w:val="0"/>
      <w:divBdr>
        <w:top w:val="none" w:sz="0" w:space="0" w:color="auto"/>
        <w:left w:val="none" w:sz="0" w:space="0" w:color="auto"/>
        <w:bottom w:val="none" w:sz="0" w:space="0" w:color="auto"/>
        <w:right w:val="none" w:sz="0" w:space="0" w:color="auto"/>
      </w:divBdr>
      <w:divsChild>
        <w:div w:id="1990329874">
          <w:marLeft w:val="0"/>
          <w:marRight w:val="0"/>
          <w:marTop w:val="0"/>
          <w:marBottom w:val="0"/>
          <w:divBdr>
            <w:top w:val="none" w:sz="0" w:space="0" w:color="auto"/>
            <w:left w:val="none" w:sz="0" w:space="0" w:color="auto"/>
            <w:bottom w:val="none" w:sz="0" w:space="0" w:color="auto"/>
            <w:right w:val="none" w:sz="0" w:space="0" w:color="auto"/>
          </w:divBdr>
        </w:div>
        <w:div w:id="1536623720">
          <w:marLeft w:val="0"/>
          <w:marRight w:val="0"/>
          <w:marTop w:val="0"/>
          <w:marBottom w:val="0"/>
          <w:divBdr>
            <w:top w:val="none" w:sz="0" w:space="0" w:color="auto"/>
            <w:left w:val="none" w:sz="0" w:space="0" w:color="auto"/>
            <w:bottom w:val="none" w:sz="0" w:space="0" w:color="auto"/>
            <w:right w:val="none" w:sz="0" w:space="0" w:color="auto"/>
          </w:divBdr>
        </w:div>
        <w:div w:id="218636335">
          <w:marLeft w:val="0"/>
          <w:marRight w:val="0"/>
          <w:marTop w:val="0"/>
          <w:marBottom w:val="0"/>
          <w:divBdr>
            <w:top w:val="none" w:sz="0" w:space="0" w:color="auto"/>
            <w:left w:val="none" w:sz="0" w:space="0" w:color="auto"/>
            <w:bottom w:val="none" w:sz="0" w:space="0" w:color="auto"/>
            <w:right w:val="none" w:sz="0" w:space="0" w:color="auto"/>
          </w:divBdr>
        </w:div>
        <w:div w:id="994605692">
          <w:marLeft w:val="0"/>
          <w:marRight w:val="0"/>
          <w:marTop w:val="0"/>
          <w:marBottom w:val="0"/>
          <w:divBdr>
            <w:top w:val="none" w:sz="0" w:space="0" w:color="auto"/>
            <w:left w:val="none" w:sz="0" w:space="0" w:color="auto"/>
            <w:bottom w:val="none" w:sz="0" w:space="0" w:color="auto"/>
            <w:right w:val="none" w:sz="0" w:space="0" w:color="auto"/>
          </w:divBdr>
        </w:div>
        <w:div w:id="520239736">
          <w:marLeft w:val="0"/>
          <w:marRight w:val="0"/>
          <w:marTop w:val="0"/>
          <w:marBottom w:val="0"/>
          <w:divBdr>
            <w:top w:val="none" w:sz="0" w:space="0" w:color="auto"/>
            <w:left w:val="none" w:sz="0" w:space="0" w:color="auto"/>
            <w:bottom w:val="none" w:sz="0" w:space="0" w:color="auto"/>
            <w:right w:val="none" w:sz="0" w:space="0" w:color="auto"/>
          </w:divBdr>
        </w:div>
        <w:div w:id="724258610">
          <w:marLeft w:val="0"/>
          <w:marRight w:val="0"/>
          <w:marTop w:val="0"/>
          <w:marBottom w:val="0"/>
          <w:divBdr>
            <w:top w:val="none" w:sz="0" w:space="0" w:color="auto"/>
            <w:left w:val="none" w:sz="0" w:space="0" w:color="auto"/>
            <w:bottom w:val="none" w:sz="0" w:space="0" w:color="auto"/>
            <w:right w:val="none" w:sz="0" w:space="0" w:color="auto"/>
          </w:divBdr>
        </w:div>
        <w:div w:id="1533882040">
          <w:marLeft w:val="0"/>
          <w:marRight w:val="0"/>
          <w:marTop w:val="0"/>
          <w:marBottom w:val="0"/>
          <w:divBdr>
            <w:top w:val="none" w:sz="0" w:space="0" w:color="auto"/>
            <w:left w:val="none" w:sz="0" w:space="0" w:color="auto"/>
            <w:bottom w:val="none" w:sz="0" w:space="0" w:color="auto"/>
            <w:right w:val="none" w:sz="0" w:space="0" w:color="auto"/>
          </w:divBdr>
        </w:div>
        <w:div w:id="1414860427">
          <w:marLeft w:val="0"/>
          <w:marRight w:val="0"/>
          <w:marTop w:val="0"/>
          <w:marBottom w:val="0"/>
          <w:divBdr>
            <w:top w:val="none" w:sz="0" w:space="0" w:color="auto"/>
            <w:left w:val="none" w:sz="0" w:space="0" w:color="auto"/>
            <w:bottom w:val="none" w:sz="0" w:space="0" w:color="auto"/>
            <w:right w:val="none" w:sz="0" w:space="0" w:color="auto"/>
          </w:divBdr>
        </w:div>
        <w:div w:id="1967662202">
          <w:marLeft w:val="0"/>
          <w:marRight w:val="0"/>
          <w:marTop w:val="0"/>
          <w:marBottom w:val="0"/>
          <w:divBdr>
            <w:top w:val="none" w:sz="0" w:space="0" w:color="auto"/>
            <w:left w:val="none" w:sz="0" w:space="0" w:color="auto"/>
            <w:bottom w:val="none" w:sz="0" w:space="0" w:color="auto"/>
            <w:right w:val="none" w:sz="0" w:space="0" w:color="auto"/>
          </w:divBdr>
        </w:div>
        <w:div w:id="1668555006">
          <w:marLeft w:val="0"/>
          <w:marRight w:val="0"/>
          <w:marTop w:val="0"/>
          <w:marBottom w:val="0"/>
          <w:divBdr>
            <w:top w:val="none" w:sz="0" w:space="0" w:color="auto"/>
            <w:left w:val="none" w:sz="0" w:space="0" w:color="auto"/>
            <w:bottom w:val="none" w:sz="0" w:space="0" w:color="auto"/>
            <w:right w:val="none" w:sz="0" w:space="0" w:color="auto"/>
          </w:divBdr>
        </w:div>
        <w:div w:id="1068957797">
          <w:marLeft w:val="0"/>
          <w:marRight w:val="0"/>
          <w:marTop w:val="0"/>
          <w:marBottom w:val="0"/>
          <w:divBdr>
            <w:top w:val="none" w:sz="0" w:space="0" w:color="auto"/>
            <w:left w:val="none" w:sz="0" w:space="0" w:color="auto"/>
            <w:bottom w:val="none" w:sz="0" w:space="0" w:color="auto"/>
            <w:right w:val="none" w:sz="0" w:space="0" w:color="auto"/>
          </w:divBdr>
        </w:div>
        <w:div w:id="577179032">
          <w:marLeft w:val="0"/>
          <w:marRight w:val="0"/>
          <w:marTop w:val="0"/>
          <w:marBottom w:val="0"/>
          <w:divBdr>
            <w:top w:val="none" w:sz="0" w:space="0" w:color="auto"/>
            <w:left w:val="none" w:sz="0" w:space="0" w:color="auto"/>
            <w:bottom w:val="none" w:sz="0" w:space="0" w:color="auto"/>
            <w:right w:val="none" w:sz="0" w:space="0" w:color="auto"/>
          </w:divBdr>
        </w:div>
        <w:div w:id="299111517">
          <w:marLeft w:val="0"/>
          <w:marRight w:val="0"/>
          <w:marTop w:val="0"/>
          <w:marBottom w:val="0"/>
          <w:divBdr>
            <w:top w:val="none" w:sz="0" w:space="0" w:color="auto"/>
            <w:left w:val="none" w:sz="0" w:space="0" w:color="auto"/>
            <w:bottom w:val="none" w:sz="0" w:space="0" w:color="auto"/>
            <w:right w:val="none" w:sz="0" w:space="0" w:color="auto"/>
          </w:divBdr>
        </w:div>
        <w:div w:id="1010647424">
          <w:marLeft w:val="0"/>
          <w:marRight w:val="0"/>
          <w:marTop w:val="0"/>
          <w:marBottom w:val="0"/>
          <w:divBdr>
            <w:top w:val="none" w:sz="0" w:space="0" w:color="auto"/>
            <w:left w:val="none" w:sz="0" w:space="0" w:color="auto"/>
            <w:bottom w:val="none" w:sz="0" w:space="0" w:color="auto"/>
            <w:right w:val="none" w:sz="0" w:space="0" w:color="auto"/>
          </w:divBdr>
        </w:div>
        <w:div w:id="1645885793">
          <w:marLeft w:val="0"/>
          <w:marRight w:val="0"/>
          <w:marTop w:val="0"/>
          <w:marBottom w:val="0"/>
          <w:divBdr>
            <w:top w:val="none" w:sz="0" w:space="0" w:color="auto"/>
            <w:left w:val="none" w:sz="0" w:space="0" w:color="auto"/>
            <w:bottom w:val="none" w:sz="0" w:space="0" w:color="auto"/>
            <w:right w:val="none" w:sz="0" w:space="0" w:color="auto"/>
          </w:divBdr>
        </w:div>
        <w:div w:id="1582985029">
          <w:marLeft w:val="0"/>
          <w:marRight w:val="0"/>
          <w:marTop w:val="0"/>
          <w:marBottom w:val="0"/>
          <w:divBdr>
            <w:top w:val="none" w:sz="0" w:space="0" w:color="auto"/>
            <w:left w:val="none" w:sz="0" w:space="0" w:color="auto"/>
            <w:bottom w:val="none" w:sz="0" w:space="0" w:color="auto"/>
            <w:right w:val="none" w:sz="0" w:space="0" w:color="auto"/>
          </w:divBdr>
        </w:div>
        <w:div w:id="1317108607">
          <w:marLeft w:val="0"/>
          <w:marRight w:val="0"/>
          <w:marTop w:val="0"/>
          <w:marBottom w:val="0"/>
          <w:divBdr>
            <w:top w:val="none" w:sz="0" w:space="0" w:color="auto"/>
            <w:left w:val="none" w:sz="0" w:space="0" w:color="auto"/>
            <w:bottom w:val="none" w:sz="0" w:space="0" w:color="auto"/>
            <w:right w:val="none" w:sz="0" w:space="0" w:color="auto"/>
          </w:divBdr>
        </w:div>
        <w:div w:id="1466193136">
          <w:marLeft w:val="0"/>
          <w:marRight w:val="0"/>
          <w:marTop w:val="0"/>
          <w:marBottom w:val="0"/>
          <w:divBdr>
            <w:top w:val="none" w:sz="0" w:space="0" w:color="auto"/>
            <w:left w:val="none" w:sz="0" w:space="0" w:color="auto"/>
            <w:bottom w:val="none" w:sz="0" w:space="0" w:color="auto"/>
            <w:right w:val="none" w:sz="0" w:space="0" w:color="auto"/>
          </w:divBdr>
        </w:div>
        <w:div w:id="796414906">
          <w:marLeft w:val="0"/>
          <w:marRight w:val="0"/>
          <w:marTop w:val="0"/>
          <w:marBottom w:val="0"/>
          <w:divBdr>
            <w:top w:val="none" w:sz="0" w:space="0" w:color="auto"/>
            <w:left w:val="none" w:sz="0" w:space="0" w:color="auto"/>
            <w:bottom w:val="none" w:sz="0" w:space="0" w:color="auto"/>
            <w:right w:val="none" w:sz="0" w:space="0" w:color="auto"/>
          </w:divBdr>
        </w:div>
        <w:div w:id="976447733">
          <w:marLeft w:val="0"/>
          <w:marRight w:val="0"/>
          <w:marTop w:val="0"/>
          <w:marBottom w:val="0"/>
          <w:divBdr>
            <w:top w:val="none" w:sz="0" w:space="0" w:color="auto"/>
            <w:left w:val="none" w:sz="0" w:space="0" w:color="auto"/>
            <w:bottom w:val="none" w:sz="0" w:space="0" w:color="auto"/>
            <w:right w:val="none" w:sz="0" w:space="0" w:color="auto"/>
          </w:divBdr>
        </w:div>
        <w:div w:id="741830761">
          <w:marLeft w:val="0"/>
          <w:marRight w:val="0"/>
          <w:marTop w:val="0"/>
          <w:marBottom w:val="0"/>
          <w:divBdr>
            <w:top w:val="none" w:sz="0" w:space="0" w:color="auto"/>
            <w:left w:val="none" w:sz="0" w:space="0" w:color="auto"/>
            <w:bottom w:val="none" w:sz="0" w:space="0" w:color="auto"/>
            <w:right w:val="none" w:sz="0" w:space="0" w:color="auto"/>
          </w:divBdr>
        </w:div>
        <w:div w:id="6701775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O@msu.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81D79C-2777-4963-BEC8-EA4889BC53FD}">
  <ds:schemaRefs>
    <ds:schemaRef ds:uri="http://schemas.openxmlformats.org/officeDocument/2006/bibliography"/>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8</TotalTime>
  <Pages>1</Pages>
  <Words>910</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Michigan State University</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Zayko, Kristine</dc:creator>
  <cp:keywords/>
  <dc:description/>
  <cp:lastModifiedBy>Sapp, Aislinn</cp:lastModifiedBy>
  <cp:revision>15</cp:revision>
  <dcterms:created xsi:type="dcterms:W3CDTF">2025-02-12T15:32:00Z</dcterms:created>
  <dcterms:modified xsi:type="dcterms:W3CDTF">2025-02-12T15:40:00Z</dcterms:modified>
</cp:coreProperties>
</file>