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1C11C" w14:textId="38862578" w:rsidR="007E6638" w:rsidRPr="007E6638" w:rsidRDefault="007E6638" w:rsidP="007E6638">
      <w:pPr>
        <w:rPr>
          <w:b/>
          <w:bCs/>
        </w:rPr>
      </w:pPr>
      <w:r>
        <w:rPr>
          <w:b/>
          <w:bCs/>
        </w:rPr>
        <w:t xml:space="preserve">OLD Grant Buy-Out Policy </w:t>
      </w:r>
    </w:p>
    <w:p w14:paraId="458A2C88" w14:textId="77777777" w:rsidR="007E6638" w:rsidRPr="007E6638" w:rsidRDefault="007E6638" w:rsidP="007E6638">
      <w:r w:rsidRPr="007E6638">
        <w:t>The general expectation is that a minimum of one unit is assigned to research. With this load assignment comes the expectation for evidence of scholarly productivity.</w:t>
      </w:r>
    </w:p>
    <w:p w14:paraId="3D81A52B" w14:textId="77777777" w:rsidR="007E6638" w:rsidRDefault="007E6638" w:rsidP="007E6638"/>
    <w:p w14:paraId="47E1FB3C" w14:textId="77777777" w:rsidR="007E6638" w:rsidRDefault="007E6638" w:rsidP="007E6638">
      <w:r w:rsidRPr="007E6638">
        <w:t xml:space="preserve">For non-tenured faculty members, load credit (first course buy-out) may be obtained with </w:t>
      </w:r>
      <w:proofErr w:type="gramStart"/>
      <w:r w:rsidRPr="007E6638">
        <w:t>externally-funded</w:t>
      </w:r>
      <w:proofErr w:type="gramEnd"/>
      <w:r w:rsidRPr="007E6638">
        <w:t xml:space="preserve"> salary support at the rate of 12.5% for the academic year. The second course buy-out, pending the size of grant or other external funding, requires an additional 25% salary support. Load credit from externally funded sources beyond the 37.5% rate must be negotiated with the department chair and approved by the dean of the college. </w:t>
      </w:r>
    </w:p>
    <w:p w14:paraId="60DB43AF" w14:textId="1246F998" w:rsidR="007E6638" w:rsidRPr="007E6638" w:rsidRDefault="007E6638" w:rsidP="007E6638">
      <w:r w:rsidRPr="007E6638">
        <w:t> </w:t>
      </w:r>
    </w:p>
    <w:p w14:paraId="56C06817" w14:textId="77777777" w:rsidR="007E6638" w:rsidRDefault="007E6638" w:rsidP="007E6638">
      <w:r w:rsidRPr="007E6638">
        <w:t>For tenured faculty members, load credit (e.g. first course buy-out) may be obtained with externally funded salary support at the rate of 25% for the academic year. The second course buy-out requires an additional 12.5% externally funded salary support.   Load credit from externally funded sources beyond the 37.5% rate must be negotiated with the department chair and approved by the dean of the college.  </w:t>
      </w:r>
    </w:p>
    <w:p w14:paraId="008FD1A9" w14:textId="77777777" w:rsidR="007E6638" w:rsidRDefault="007E6638" w:rsidP="007E6638"/>
    <w:p w14:paraId="4C00F3BB" w14:textId="77777777" w:rsidR="007E6638" w:rsidRDefault="007E6638" w:rsidP="007E6638"/>
    <w:p w14:paraId="03CBE78B" w14:textId="71D8B733" w:rsidR="007E6638" w:rsidRPr="007E6638" w:rsidRDefault="007E6638" w:rsidP="007E6638">
      <w:pPr>
        <w:rPr>
          <w:b/>
          <w:bCs/>
        </w:rPr>
      </w:pPr>
      <w:r>
        <w:rPr>
          <w:b/>
          <w:bCs/>
        </w:rPr>
        <w:t>NEW</w:t>
      </w:r>
      <w:r>
        <w:rPr>
          <w:b/>
          <w:bCs/>
        </w:rPr>
        <w:t xml:space="preserve"> Grant Buy-Out Policy </w:t>
      </w:r>
    </w:p>
    <w:p w14:paraId="4B631740" w14:textId="77777777" w:rsidR="007E6638" w:rsidRPr="007E6638" w:rsidRDefault="007E6638" w:rsidP="007E6638">
      <w:r w:rsidRPr="007E6638">
        <w:t>The general expectation is that a minimum of one unit is assigned to research. With this load assignment comes the expectation for evidence of scholarly productivity.</w:t>
      </w:r>
    </w:p>
    <w:p w14:paraId="337FBF5A" w14:textId="77777777" w:rsidR="007E6638" w:rsidRDefault="007E6638" w:rsidP="007E6638"/>
    <w:p w14:paraId="665829BE" w14:textId="7815BA72" w:rsidR="007E6638" w:rsidRDefault="007E6638" w:rsidP="007E6638">
      <w:r w:rsidRPr="007E6638">
        <w:t xml:space="preserve">For </w:t>
      </w:r>
      <w:r>
        <w:t>tenure-stream and tenured</w:t>
      </w:r>
      <w:r w:rsidRPr="007E6638">
        <w:t xml:space="preserve"> faculty members</w:t>
      </w:r>
      <w:r>
        <w:t xml:space="preserve"> as well as fixed term faculty and academic staff</w:t>
      </w:r>
      <w:r w:rsidRPr="007E6638">
        <w:t xml:space="preserve">, load credit (course buy-out) may be obtained with </w:t>
      </w:r>
      <w:proofErr w:type="gramStart"/>
      <w:r w:rsidRPr="007E6638">
        <w:t>externally-funded</w:t>
      </w:r>
      <w:proofErr w:type="gramEnd"/>
      <w:r w:rsidRPr="007E6638">
        <w:t xml:space="preserve"> salary support at the rate of </w:t>
      </w:r>
      <w:r>
        <w:t>20</w:t>
      </w:r>
      <w:r w:rsidRPr="007E6638">
        <w:t>% for the academic year. The second course buy-out</w:t>
      </w:r>
      <w:r>
        <w:t xml:space="preserve"> </w:t>
      </w:r>
      <w:r w:rsidRPr="007E6638">
        <w:t>requires an additional 2</w:t>
      </w:r>
      <w:r>
        <w:t>0</w:t>
      </w:r>
      <w:r w:rsidRPr="007E6638">
        <w:t xml:space="preserve">% salary support. </w:t>
      </w:r>
      <w:r>
        <w:t xml:space="preserve">Likewise, a third course requires another 20% of salary support. </w:t>
      </w:r>
      <w:r w:rsidRPr="007E6638">
        <w:t xml:space="preserve">Load credit from externally funded sources beyond the </w:t>
      </w:r>
      <w:r>
        <w:t>60</w:t>
      </w:r>
      <w:r w:rsidRPr="007E6638">
        <w:t xml:space="preserve">% rate must be negotiated with the department chair and approved by the dean of the college. </w:t>
      </w:r>
      <w:r>
        <w:t xml:space="preserve">Department chairs can, and are encouraged, to allow faculty to demonstrate 20, 40, or 60% combined across grants within one academic year (e.g., 10% load from one grant plus 10% load from a second grant within the same academic year would result in the 20% needed to buy-out of one course for that academic year). </w:t>
      </w:r>
    </w:p>
    <w:p w14:paraId="2873F6B3" w14:textId="77777777" w:rsidR="007E6638" w:rsidRPr="007E6638" w:rsidRDefault="007E6638" w:rsidP="007E6638"/>
    <w:p w14:paraId="48EE351F" w14:textId="77777777" w:rsidR="001F4A7D" w:rsidRDefault="001F4A7D"/>
    <w:sectPr w:rsidR="001F4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38"/>
    <w:rsid w:val="001A1C53"/>
    <w:rsid w:val="001F4A7D"/>
    <w:rsid w:val="00490522"/>
    <w:rsid w:val="005B1E6E"/>
    <w:rsid w:val="006D6FC5"/>
    <w:rsid w:val="007E6638"/>
    <w:rsid w:val="008E3CEC"/>
    <w:rsid w:val="00A03314"/>
    <w:rsid w:val="00AF668C"/>
    <w:rsid w:val="00CB4F83"/>
    <w:rsid w:val="00E24344"/>
    <w:rsid w:val="00E3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10F9AA"/>
  <w15:chartTrackingRefBased/>
  <w15:docId w15:val="{8FA1BA32-1572-AC4B-871D-3116B7A3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C5"/>
    <w:rPr>
      <w:rFonts w:ascii="Times New Roman" w:eastAsiaTheme="minorEastAsia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6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6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6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6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6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6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6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6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6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638"/>
    <w:rPr>
      <w:rFonts w:ascii="Times New Roman" w:eastAsiaTheme="minorEastAsia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638"/>
    <w:rPr>
      <w:rFonts w:ascii="Times New Roman" w:eastAsiaTheme="minorEastAsia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6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Bouck, Emily (she/her)</dc:creator>
  <cp:keywords/>
  <dc:description/>
  <cp:lastModifiedBy>Bouck, Emily (she/her)</cp:lastModifiedBy>
  <cp:revision>1</cp:revision>
  <dcterms:created xsi:type="dcterms:W3CDTF">2024-10-01T11:53:00Z</dcterms:created>
  <dcterms:modified xsi:type="dcterms:W3CDTF">2024-10-01T11:56:00Z</dcterms:modified>
</cp:coreProperties>
</file>