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5F91" w14:textId="3B7219DF" w:rsidR="00672496" w:rsidRDefault="00672496" w:rsidP="00672496">
      <w:pPr>
        <w:pStyle w:val="Heading1"/>
        <w:spacing w:before="0" w:after="0"/>
        <w:jc w:val="center"/>
      </w:pPr>
      <w:r>
        <w:t>College of Education</w:t>
      </w:r>
    </w:p>
    <w:p w14:paraId="4D7AB8CF" w14:textId="7EE9BDA8" w:rsidR="00026769" w:rsidRDefault="009D294B" w:rsidP="00672496">
      <w:pPr>
        <w:pStyle w:val="Heading1"/>
        <w:spacing w:before="0" w:after="0"/>
        <w:jc w:val="center"/>
      </w:pPr>
      <w:r w:rsidRPr="00464B15">
        <w:t xml:space="preserve">Policy </w:t>
      </w:r>
      <w:r w:rsidR="00B57AF2">
        <w:t>for</w:t>
      </w:r>
      <w:r w:rsidRPr="00464B15">
        <w:t xml:space="preserve"> Centralized Management</w:t>
      </w:r>
    </w:p>
    <w:p w14:paraId="1DD882DF" w14:textId="0B45D404" w:rsidR="009D294B" w:rsidRPr="00464B15" w:rsidRDefault="009D294B" w:rsidP="00672496">
      <w:pPr>
        <w:pStyle w:val="Heading1"/>
        <w:spacing w:before="0" w:after="0"/>
        <w:jc w:val="center"/>
      </w:pPr>
      <w:r w:rsidRPr="00464B15">
        <w:t>of College Spaces</w:t>
      </w:r>
      <w:r w:rsidR="00414A14">
        <w:t xml:space="preserve"> (</w:t>
      </w:r>
      <w:r w:rsidR="007325C8">
        <w:t>2</w:t>
      </w:r>
      <w:r w:rsidR="00414A14">
        <w:t>/</w:t>
      </w:r>
      <w:r w:rsidR="007325C8">
        <w:t>21</w:t>
      </w:r>
      <w:r w:rsidR="00414A14">
        <w:t>/25)</w:t>
      </w:r>
    </w:p>
    <w:p w14:paraId="7642A936" w14:textId="77777777" w:rsidR="00580063" w:rsidRDefault="00580063" w:rsidP="009D294B"/>
    <w:p w14:paraId="0D813807" w14:textId="15542BD3" w:rsidR="00580063" w:rsidRPr="00580063" w:rsidRDefault="00580063" w:rsidP="00580063">
      <w:r w:rsidRPr="00580063">
        <w:t xml:space="preserve">The </w:t>
      </w:r>
      <w:r w:rsidR="00952AA2">
        <w:t>c</w:t>
      </w:r>
      <w:r w:rsidRPr="00580063">
        <w:t xml:space="preserve">ollege recognizes the importance of efficient and equitable use of office space to support its academic, administrative, and operational needs. To achieve this, the </w:t>
      </w:r>
      <w:r w:rsidR="00CE034D">
        <w:t>c</w:t>
      </w:r>
      <w:r w:rsidRPr="00E4460D">
        <w:t xml:space="preserve">ollege </w:t>
      </w:r>
      <w:r w:rsidR="00BD160A" w:rsidRPr="00E4460D">
        <w:t>is</w:t>
      </w:r>
      <w:r w:rsidRPr="00E4460D">
        <w:t xml:space="preserve"> implement</w:t>
      </w:r>
      <w:r w:rsidR="00BD160A" w:rsidRPr="00E4460D">
        <w:t>ing</w:t>
      </w:r>
      <w:r w:rsidRPr="00E4460D">
        <w:t xml:space="preserve"> a centralized management process for allocating, monitoring, and</w:t>
      </w:r>
      <w:r w:rsidRPr="00580063">
        <w:t xml:space="preserve"> optimizing </w:t>
      </w:r>
      <w:r w:rsidR="00041569">
        <w:t>all</w:t>
      </w:r>
      <w:r w:rsidR="00041569" w:rsidRPr="00580063">
        <w:t xml:space="preserve"> </w:t>
      </w:r>
      <w:r w:rsidRPr="00580063">
        <w:t xml:space="preserve">spaces. This approach ensures alignment with strategic priorities, promotes </w:t>
      </w:r>
      <w:r w:rsidR="00A30AB5">
        <w:t>equity</w:t>
      </w:r>
      <w:r w:rsidRPr="00580063">
        <w:t>, and enables flexibility in addressing changing demands across departments and programs.</w:t>
      </w:r>
    </w:p>
    <w:p w14:paraId="54674395" w14:textId="77777777" w:rsidR="00E04B8B" w:rsidRDefault="00E04B8B" w:rsidP="009D294B"/>
    <w:p w14:paraId="496390B6" w14:textId="6B8EE4F1" w:rsidR="009D294B" w:rsidRDefault="009D294B" w:rsidP="00BF0599">
      <w:r>
        <w:t xml:space="preserve">This policy applies to all academic and administrative departments and units within the college. It </w:t>
      </w:r>
      <w:r w:rsidR="00D00667">
        <w:t>includes</w:t>
      </w:r>
      <w:r>
        <w:t xml:space="preserve"> all</w:t>
      </w:r>
      <w:r w:rsidR="002B5BDA">
        <w:t xml:space="preserve"> </w:t>
      </w:r>
      <w:r w:rsidR="00CE034D">
        <w:t>college owned</w:t>
      </w:r>
      <w:r w:rsidR="005D272F">
        <w:t xml:space="preserve"> public spaces,</w:t>
      </w:r>
      <w:r>
        <w:t xml:space="preserve"> office spaces, including faculty offices, administrative offices, </w:t>
      </w:r>
      <w:r w:rsidR="006C5576">
        <w:t>workspaces,</w:t>
      </w:r>
      <w:r w:rsidR="00150CCA">
        <w:t xml:space="preserve"> classrooms,</w:t>
      </w:r>
      <w:r w:rsidR="006C5576">
        <w:t xml:space="preserve"> student spaces, </w:t>
      </w:r>
      <w:r>
        <w:t xml:space="preserve">shared </w:t>
      </w:r>
      <w:r w:rsidR="006C5576">
        <w:t>work areas</w:t>
      </w:r>
      <w:r w:rsidR="00500CC4">
        <w:t>,</w:t>
      </w:r>
      <w:r w:rsidR="00C212CC">
        <w:t xml:space="preserve"> meeting rooms,</w:t>
      </w:r>
      <w:r w:rsidR="00500CC4">
        <w:t xml:space="preserve"> and storage</w:t>
      </w:r>
      <w:r>
        <w:t>.</w:t>
      </w:r>
    </w:p>
    <w:p w14:paraId="6F3E659C" w14:textId="7828B149" w:rsidR="009D294B" w:rsidRDefault="009D294B" w:rsidP="009D294B"/>
    <w:p w14:paraId="47CD0BE1" w14:textId="0EFB6FA8" w:rsidR="009D294B" w:rsidRDefault="008172AD" w:rsidP="009273AB">
      <w:pPr>
        <w:pStyle w:val="Heading2"/>
      </w:pPr>
      <w:r>
        <w:t>Why this change?</w:t>
      </w:r>
    </w:p>
    <w:p w14:paraId="204D9A78" w14:textId="77777777" w:rsidR="009D294B" w:rsidRDefault="009D294B" w:rsidP="009D294B"/>
    <w:p w14:paraId="5C2BBE5D" w14:textId="1A67E2E6" w:rsidR="009D294B" w:rsidRDefault="009D294B" w:rsidP="009273AB">
      <w:pPr>
        <w:pStyle w:val="Heading3"/>
      </w:pPr>
      <w:r>
        <w:t>1. Equity in Resource Allocation</w:t>
      </w:r>
    </w:p>
    <w:p w14:paraId="4F1ACD14" w14:textId="77777777" w:rsidR="008172AD" w:rsidRDefault="008172AD" w:rsidP="009D294B"/>
    <w:p w14:paraId="1532EEA6" w14:textId="49312B74" w:rsidR="009D294B" w:rsidRDefault="009D294B" w:rsidP="009D294B">
      <w:r>
        <w:t>Centralizing space management ensures that all departments</w:t>
      </w:r>
      <w:r w:rsidR="00A30AB5">
        <w:t xml:space="preserve"> and units</w:t>
      </w:r>
      <w:r>
        <w:t xml:space="preserve"> have access to office spaces based on objective criteri</w:t>
      </w:r>
      <w:r w:rsidRPr="00E4460D">
        <w:t>a.</w:t>
      </w:r>
    </w:p>
    <w:p w14:paraId="5DFA0941" w14:textId="77777777" w:rsidR="009D294B" w:rsidRDefault="009D294B" w:rsidP="009D294B">
      <w:r>
        <w:t xml:space="preserve">  </w:t>
      </w:r>
    </w:p>
    <w:p w14:paraId="5C41F03B" w14:textId="062B3F06" w:rsidR="009D294B" w:rsidRDefault="009D294B" w:rsidP="009273AB">
      <w:pPr>
        <w:pStyle w:val="Heading3"/>
      </w:pPr>
      <w:r>
        <w:t>2. Optimized Space Utilization</w:t>
      </w:r>
    </w:p>
    <w:p w14:paraId="6841B5B8" w14:textId="77777777" w:rsidR="008A6665" w:rsidRDefault="008A6665" w:rsidP="009D294B"/>
    <w:p w14:paraId="68A9FDAB" w14:textId="48A8D4D0" w:rsidR="009D294B" w:rsidRDefault="009D294B" w:rsidP="009D294B">
      <w:r>
        <w:t xml:space="preserve">The college has a finite amount of space, and it is crucial that these spaces are used efficiently. By centralizing space management, the </w:t>
      </w:r>
      <w:r w:rsidR="00E63E1A">
        <w:t>Dean’s Office</w:t>
      </w:r>
      <w:r>
        <w:t xml:space="preserve"> can analyze space utilization across the entire college and optimize the use of available space. This may include reallocating underutilized spaces, </w:t>
      </w:r>
      <w:r w:rsidR="007932DB">
        <w:t xml:space="preserve">and </w:t>
      </w:r>
      <w:r>
        <w:t>redesigning areas to better meet needs.</w:t>
      </w:r>
    </w:p>
    <w:p w14:paraId="5C757B16" w14:textId="77777777" w:rsidR="009D294B" w:rsidRDefault="009D294B" w:rsidP="009D294B"/>
    <w:p w14:paraId="21FFDF66" w14:textId="179387CE" w:rsidR="009D294B" w:rsidRDefault="009D294B" w:rsidP="009273AB">
      <w:pPr>
        <w:pStyle w:val="Heading3"/>
      </w:pPr>
      <w:r>
        <w:t>3.</w:t>
      </w:r>
      <w:r w:rsidR="008A6665">
        <w:t xml:space="preserve"> </w:t>
      </w:r>
      <w:r>
        <w:t xml:space="preserve">Enhanced Collaboration Opportunities </w:t>
      </w:r>
    </w:p>
    <w:p w14:paraId="214DFAAD" w14:textId="77777777" w:rsidR="008A6665" w:rsidRDefault="008A6665" w:rsidP="009D294B"/>
    <w:p w14:paraId="702A0ED0" w14:textId="2F5C723D" w:rsidR="009D294B" w:rsidRDefault="009D294B" w:rsidP="009D294B">
      <w:r>
        <w:t>Centralized management allows the college to create shared spaces that encourage collaboration between departments</w:t>
      </w:r>
      <w:r w:rsidR="009A2823">
        <w:t xml:space="preserve"> and units</w:t>
      </w:r>
      <w:r>
        <w:t xml:space="preserve">. </w:t>
      </w:r>
      <w:r w:rsidR="00BA09FF" w:rsidRPr="00BA09FF">
        <w:t xml:space="preserve">Eliminating the silos associated with department and </w:t>
      </w:r>
      <w:r w:rsidR="00C242FF" w:rsidRPr="00BA09FF">
        <w:t>unit</w:t>
      </w:r>
      <w:r w:rsidR="00C242FF">
        <w:t>-controlled</w:t>
      </w:r>
      <w:r w:rsidR="00BA09FF" w:rsidRPr="00BA09FF">
        <w:t xml:space="preserve"> spaces will enable the college to cultivate a more collaborative and innovative academic environment.</w:t>
      </w:r>
    </w:p>
    <w:p w14:paraId="18873BB3" w14:textId="77777777" w:rsidR="009D294B" w:rsidRDefault="009D294B" w:rsidP="009D294B"/>
    <w:p w14:paraId="1709F85A" w14:textId="437F91E1" w:rsidR="009D294B" w:rsidRDefault="009D294B" w:rsidP="009273AB">
      <w:pPr>
        <w:pStyle w:val="Heading3"/>
      </w:pPr>
      <w:r>
        <w:lastRenderedPageBreak/>
        <w:t>4. Consistency in Facilities Maintenance and Upgrades</w:t>
      </w:r>
    </w:p>
    <w:p w14:paraId="06BFC787" w14:textId="77777777" w:rsidR="008A6665" w:rsidRDefault="008A6665" w:rsidP="009D294B"/>
    <w:p w14:paraId="7489629E" w14:textId="4B442E75" w:rsidR="009D294B" w:rsidRDefault="009D294B" w:rsidP="009D294B">
      <w:r>
        <w:t xml:space="preserve">With centralized management, the </w:t>
      </w:r>
      <w:r w:rsidR="00580063">
        <w:t xml:space="preserve">Facilities </w:t>
      </w:r>
      <w:r w:rsidR="00972497">
        <w:t>Office</w:t>
      </w:r>
      <w:r>
        <w:t xml:space="preserve"> will be responsible for the upkeep, renovation, and modernization of all office spaces. </w:t>
      </w:r>
      <w:r w:rsidR="00BA09FF" w:rsidRPr="00BA09FF">
        <w:t>This ensures a consistent standard of quality across the college, reducing disparities between departments</w:t>
      </w:r>
      <w:r w:rsidR="00BA09FF" w:rsidRPr="00E4460D">
        <w:t>, optimizing budget utilization, and ensuring that all spaces meet current safety and accessibility standards.</w:t>
      </w:r>
    </w:p>
    <w:p w14:paraId="55994401" w14:textId="77777777" w:rsidR="009D294B" w:rsidRDefault="009D294B" w:rsidP="009D294B"/>
    <w:p w14:paraId="73D2B6E6" w14:textId="07DFD276" w:rsidR="009D294B" w:rsidRDefault="009D294B" w:rsidP="009273AB">
      <w:pPr>
        <w:pStyle w:val="Heading3"/>
      </w:pPr>
      <w:r>
        <w:t>5. Support for Strategic Growth</w:t>
      </w:r>
    </w:p>
    <w:p w14:paraId="200393FB" w14:textId="77777777" w:rsidR="008A6665" w:rsidRDefault="008A6665" w:rsidP="009D294B"/>
    <w:p w14:paraId="75BF7BE7" w14:textId="470246BA" w:rsidR="009D294B" w:rsidRDefault="009D294B" w:rsidP="009D294B">
      <w:r>
        <w:t xml:space="preserve">As the college grows and evolves, having a centralized system for managing office space will allow </w:t>
      </w:r>
      <w:r w:rsidR="00FD48F5">
        <w:t xml:space="preserve">the </w:t>
      </w:r>
      <w:r w:rsidR="00952AA2">
        <w:t>co</w:t>
      </w:r>
      <w:r w:rsidR="00FD48F5">
        <w:t xml:space="preserve">llege to be more </w:t>
      </w:r>
      <w:r>
        <w:t xml:space="preserve">flexible and </w:t>
      </w:r>
      <w:r w:rsidR="00DD36F1">
        <w:t xml:space="preserve">better implement </w:t>
      </w:r>
      <w:r>
        <w:t>strategic</w:t>
      </w:r>
      <w:r w:rsidR="00580063">
        <w:rPr>
          <w:strike/>
        </w:rPr>
        <w:t xml:space="preserve"> </w:t>
      </w:r>
      <w:r w:rsidR="00672496">
        <w:t>initiatives</w:t>
      </w:r>
      <w:r>
        <w:t xml:space="preserve">. </w:t>
      </w:r>
      <w:r w:rsidR="006B2AF9" w:rsidRPr="00E4460D">
        <w:t>A centralized system enables the Dean’s Office to strategically allocate space based on the college's evolving needs, including faculty and staff hiring, program and curriculum development, and overarching priorities. This approach supports addressing emerging trends in education, ensuring alignment with the college's mission and long-term goals.</w:t>
      </w:r>
    </w:p>
    <w:p w14:paraId="4E0151C4" w14:textId="77777777" w:rsidR="009D294B" w:rsidRDefault="009D294B" w:rsidP="009D294B"/>
    <w:p w14:paraId="23AAA7FE" w14:textId="17C7F5A2" w:rsidR="009D294B" w:rsidRDefault="009D294B" w:rsidP="009273AB">
      <w:pPr>
        <w:pStyle w:val="Heading2"/>
      </w:pPr>
      <w:r>
        <w:t>Implementation</w:t>
      </w:r>
      <w:r w:rsidR="00801F41">
        <w:t xml:space="preserve"> and Timeline</w:t>
      </w:r>
    </w:p>
    <w:p w14:paraId="77A5CE15" w14:textId="77777777" w:rsidR="008A6665" w:rsidRDefault="008A6665" w:rsidP="009D294B"/>
    <w:p w14:paraId="64FB824E" w14:textId="005AE20F" w:rsidR="009D294B" w:rsidRDefault="009D294B" w:rsidP="009D294B">
      <w:r>
        <w:t xml:space="preserve">The transition to centralized space management will be </w:t>
      </w:r>
      <w:proofErr w:type="gramStart"/>
      <w:r>
        <w:t>phased</w:t>
      </w:r>
      <w:r w:rsidR="00FA7286">
        <w:t>-in</w:t>
      </w:r>
      <w:proofErr w:type="gramEnd"/>
      <w:r w:rsidR="00FA7286">
        <w:t xml:space="preserve"> </w:t>
      </w:r>
      <w:r>
        <w:t xml:space="preserve">over the next </w:t>
      </w:r>
      <w:r w:rsidR="00091A66">
        <w:t>12 months</w:t>
      </w:r>
      <w:r w:rsidR="001171D9">
        <w:t xml:space="preserve"> </w:t>
      </w:r>
      <w:r w:rsidR="001171D9" w:rsidRPr="00E4460D">
        <w:t xml:space="preserve">starting </w:t>
      </w:r>
      <w:r w:rsidR="00672496" w:rsidRPr="00E4460D">
        <w:rPr>
          <w:b/>
          <w:bCs/>
        </w:rPr>
        <w:t>(</w:t>
      </w:r>
      <w:r w:rsidR="00BA09FF" w:rsidRPr="00E4460D">
        <w:rPr>
          <w:b/>
          <w:bCs/>
        </w:rPr>
        <w:t>July 1, 2025</w:t>
      </w:r>
      <w:r w:rsidR="00672496" w:rsidRPr="00E4460D">
        <w:rPr>
          <w:b/>
          <w:bCs/>
        </w:rPr>
        <w:t>)</w:t>
      </w:r>
      <w:r w:rsidR="00026769" w:rsidRPr="00E4460D">
        <w:t xml:space="preserve">. </w:t>
      </w:r>
      <w:r w:rsidRPr="00E4460D">
        <w:t>During this</w:t>
      </w:r>
      <w:r>
        <w:t xml:space="preserve"> period, the </w:t>
      </w:r>
      <w:r w:rsidR="00580063">
        <w:t>Facilities</w:t>
      </w:r>
      <w:r w:rsidR="00091A66">
        <w:t xml:space="preserve"> Office</w:t>
      </w:r>
      <w:r>
        <w:t xml:space="preserve"> will work closely with department </w:t>
      </w:r>
      <w:r w:rsidR="00091A66">
        <w:t xml:space="preserve">and unit leaders </w:t>
      </w:r>
      <w:r>
        <w:t>to assess current space usage, identify needs, and develop a fair and transparent process for reallocating office spaces. Departments</w:t>
      </w:r>
      <w:r w:rsidR="00CC40FA">
        <w:t xml:space="preserve"> and units</w:t>
      </w:r>
      <w:r>
        <w:t xml:space="preserve"> will be consulted throughout the process to ensure that their specific needs and concerns are addressed.</w:t>
      </w:r>
      <w:r w:rsidR="006771B1">
        <w:t xml:space="preserve"> All</w:t>
      </w:r>
      <w:r w:rsidR="00785AA9">
        <w:t xml:space="preserve"> </w:t>
      </w:r>
      <w:r w:rsidR="00D32003">
        <w:t xml:space="preserve">major </w:t>
      </w:r>
      <w:r w:rsidR="00785AA9">
        <w:t xml:space="preserve">space assignments and </w:t>
      </w:r>
      <w:r w:rsidR="004A57C0">
        <w:t xml:space="preserve">space </w:t>
      </w:r>
      <w:r w:rsidR="001A07ED">
        <w:t xml:space="preserve">changes unrelated to research space will be determined by </w:t>
      </w:r>
      <w:r w:rsidR="004A57C0">
        <w:t>the</w:t>
      </w:r>
      <w:r w:rsidR="001A07ED">
        <w:t xml:space="preserve"> Space</w:t>
      </w:r>
      <w:r w:rsidR="004A57C0">
        <w:t xml:space="preserve"> Planning</w:t>
      </w:r>
      <w:r w:rsidR="001A07ED">
        <w:t xml:space="preserve"> Committee.</w:t>
      </w:r>
    </w:p>
    <w:p w14:paraId="272F8D77" w14:textId="77777777" w:rsidR="00CF3000" w:rsidRDefault="00CF3000" w:rsidP="009D294B"/>
    <w:p w14:paraId="70747F49" w14:textId="201085E6" w:rsidR="008A5099" w:rsidRDefault="008A5099" w:rsidP="008A5099">
      <w:pPr>
        <w:pStyle w:val="Heading3"/>
      </w:pPr>
      <w:r>
        <w:t>Classrooms</w:t>
      </w:r>
    </w:p>
    <w:p w14:paraId="3157B2C0" w14:textId="77777777" w:rsidR="008A5099" w:rsidRDefault="008A5099" w:rsidP="009D294B"/>
    <w:p w14:paraId="02D731D5" w14:textId="0F67B4A6" w:rsidR="00275B31" w:rsidRDefault="00CF3000" w:rsidP="009D294B">
      <w:r>
        <w:t xml:space="preserve">Starting </w:t>
      </w:r>
      <w:r w:rsidR="000F772E">
        <w:t xml:space="preserve">Spring Semester 2026 </w:t>
      </w:r>
      <w:r w:rsidR="00CC40FA">
        <w:t xml:space="preserve">Erickson </w:t>
      </w:r>
      <w:r w:rsidR="000F772E">
        <w:t>classrooms 107, 109, and 111</w:t>
      </w:r>
      <w:r w:rsidR="0013212D">
        <w:t xml:space="preserve"> (</w:t>
      </w:r>
      <w:r w:rsidR="007267A3">
        <w:t xml:space="preserve">currently </w:t>
      </w:r>
      <w:r w:rsidR="0013212D">
        <w:t>known as TE classrooms)</w:t>
      </w:r>
      <w:r w:rsidR="000F772E">
        <w:t xml:space="preserve"> will </w:t>
      </w:r>
      <w:r w:rsidR="002141EC">
        <w:t>join</w:t>
      </w:r>
      <w:r w:rsidR="00534CD0">
        <w:t xml:space="preserve"> 130, 132, 133D, and 133E </w:t>
      </w:r>
      <w:r w:rsidR="00A516E6">
        <w:t>and be</w:t>
      </w:r>
      <w:r w:rsidR="00801F41">
        <w:t xml:space="preserve"> </w:t>
      </w:r>
      <w:r w:rsidR="000F772E">
        <w:t xml:space="preserve">scheduled by </w:t>
      </w:r>
      <w:r w:rsidR="0013212D">
        <w:t xml:space="preserve">the </w:t>
      </w:r>
      <w:r w:rsidR="00580063">
        <w:t>Facilities</w:t>
      </w:r>
      <w:r w:rsidR="0013212D">
        <w:t xml:space="preserve"> Office</w:t>
      </w:r>
      <w:r w:rsidR="001171D9">
        <w:t>.</w:t>
      </w:r>
      <w:r w:rsidR="00970A7A">
        <w:t xml:space="preserve"> </w:t>
      </w:r>
      <w:r w:rsidR="009B705D">
        <w:t xml:space="preserve">TE classes that </w:t>
      </w:r>
      <w:r w:rsidR="00F06599">
        <w:t>need to use materials</w:t>
      </w:r>
      <w:r w:rsidR="000E382F">
        <w:t xml:space="preserve"> or </w:t>
      </w:r>
      <w:r w:rsidR="00F269D2">
        <w:t>equipment located</w:t>
      </w:r>
      <w:r w:rsidR="00F06599">
        <w:t xml:space="preserve"> in 107, 109, or 111 </w:t>
      </w:r>
      <w:r w:rsidR="00275B31">
        <w:t>will get priority booking.</w:t>
      </w:r>
    </w:p>
    <w:p w14:paraId="42DFA366" w14:textId="77777777" w:rsidR="00275B31" w:rsidRDefault="00275B31" w:rsidP="009D294B"/>
    <w:p w14:paraId="0AA7FA81" w14:textId="149F6B2F" w:rsidR="002E6B40" w:rsidRDefault="00970A7A" w:rsidP="009D294B">
      <w:r>
        <w:t>Due to the specialized teaching equipment, IM Circle</w:t>
      </w:r>
      <w:r w:rsidR="00A43872">
        <w:t xml:space="preserve"> class-labs </w:t>
      </w:r>
      <w:r w:rsidR="002E6B40">
        <w:t>will continue to be managed by the Kinesiology department.</w:t>
      </w:r>
      <w:r w:rsidR="00515F70">
        <w:t xml:space="preserve"> Additionally</w:t>
      </w:r>
      <w:r w:rsidR="00FD756E">
        <w:t xml:space="preserve">, University classrooms that the </w:t>
      </w:r>
      <w:r w:rsidR="00952AA2">
        <w:t>c</w:t>
      </w:r>
      <w:r w:rsidR="00FD756E">
        <w:t xml:space="preserve">ollege is given priority scheduling for will continue to be scheduled by the </w:t>
      </w:r>
      <w:r w:rsidR="00580063">
        <w:t>Facilities</w:t>
      </w:r>
      <w:r w:rsidR="00FD756E">
        <w:t xml:space="preserve"> Office</w:t>
      </w:r>
      <w:r w:rsidR="00BB5688">
        <w:t xml:space="preserve"> until the cutoff date</w:t>
      </w:r>
      <w:r w:rsidR="00FD756E">
        <w:t>.</w:t>
      </w:r>
    </w:p>
    <w:p w14:paraId="20C06401" w14:textId="77777777" w:rsidR="002E6B40" w:rsidRDefault="002E6B40" w:rsidP="009D294B"/>
    <w:p w14:paraId="779ACD41" w14:textId="0C74F1C6" w:rsidR="00DD6F33" w:rsidRDefault="00FD756E" w:rsidP="009D294B">
      <w:r>
        <w:t xml:space="preserve">All other </w:t>
      </w:r>
      <w:r w:rsidR="002E6B40">
        <w:t xml:space="preserve">University classrooms </w:t>
      </w:r>
      <w:r w:rsidR="00515F70">
        <w:t>are not included in this</w:t>
      </w:r>
      <w:r w:rsidR="00A43872">
        <w:t xml:space="preserve"> </w:t>
      </w:r>
      <w:r>
        <w:t>policy.</w:t>
      </w:r>
    </w:p>
    <w:p w14:paraId="4FF07968" w14:textId="77777777" w:rsidR="003A44FE" w:rsidRDefault="003A44FE" w:rsidP="009D294B"/>
    <w:p w14:paraId="31813622" w14:textId="0E89E39B" w:rsidR="001845CD" w:rsidRPr="00275B31" w:rsidRDefault="00176E21" w:rsidP="00F35CBA">
      <w:pPr>
        <w:pStyle w:val="Heading3"/>
      </w:pPr>
      <w:r>
        <w:br w:type="page"/>
      </w:r>
      <w:r w:rsidR="001845CD">
        <w:lastRenderedPageBreak/>
        <w:t>Conference Rooms</w:t>
      </w:r>
    </w:p>
    <w:p w14:paraId="73585533" w14:textId="77777777" w:rsidR="001B3867" w:rsidRPr="001B3867" w:rsidRDefault="001B3867" w:rsidP="001B3867"/>
    <w:p w14:paraId="0F5F85BC" w14:textId="0E6AE1C9" w:rsidR="00FC7349" w:rsidRDefault="001845CD" w:rsidP="001845CD">
      <w:r w:rsidRPr="00E4460D">
        <w:t xml:space="preserve">Starting </w:t>
      </w:r>
      <w:r w:rsidR="00026769" w:rsidRPr="00E4460D">
        <w:rPr>
          <w:b/>
          <w:bCs/>
        </w:rPr>
        <w:t>(</w:t>
      </w:r>
      <w:r w:rsidR="00BA09FF" w:rsidRPr="00E4460D">
        <w:rPr>
          <w:b/>
          <w:bCs/>
        </w:rPr>
        <w:t>August 16, 2025</w:t>
      </w:r>
      <w:r w:rsidR="00026769" w:rsidRPr="00E4460D">
        <w:rPr>
          <w:b/>
          <w:bCs/>
        </w:rPr>
        <w:t xml:space="preserve">) </w:t>
      </w:r>
      <w:r w:rsidRPr="00E4460D">
        <w:t xml:space="preserve">all </w:t>
      </w:r>
      <w:r w:rsidR="00081D6E">
        <w:t xml:space="preserve">existing </w:t>
      </w:r>
      <w:r w:rsidRPr="00E4460D">
        <w:t>Erickson</w:t>
      </w:r>
      <w:r>
        <w:t xml:space="preserve"> and IM Circle </w:t>
      </w:r>
      <w:r w:rsidR="00713B31">
        <w:t xml:space="preserve">meeting spaces </w:t>
      </w:r>
      <w:r>
        <w:t>will be available to be scheduled through</w:t>
      </w:r>
      <w:r w:rsidR="00713B31">
        <w:t xml:space="preserve"> the </w:t>
      </w:r>
      <w:r w:rsidR="00952AA2">
        <w:t>c</w:t>
      </w:r>
      <w:r w:rsidR="00713B31">
        <w:t>ollege room scheduling system.</w:t>
      </w:r>
      <w:r w:rsidR="0046459E">
        <w:t xml:space="preserve"> </w:t>
      </w:r>
      <w:r w:rsidR="00AA2F62">
        <w:t>Meeting</w:t>
      </w:r>
      <w:r w:rsidR="0046459E">
        <w:t xml:space="preserve"> spaces within departments and units that were previously considered</w:t>
      </w:r>
      <w:r w:rsidR="007710C0">
        <w:t xml:space="preserve"> exclusive to those departments and units</w:t>
      </w:r>
      <w:r w:rsidR="00171348">
        <w:t xml:space="preserve"> will be</w:t>
      </w:r>
      <w:r w:rsidR="00A9473C" w:rsidRPr="00A9473C">
        <w:t xml:space="preserve"> available for use but must be scheduled through the unit admin or facilities</w:t>
      </w:r>
      <w:r w:rsidR="000C4A1D">
        <w:t xml:space="preserve"> staff.</w:t>
      </w:r>
    </w:p>
    <w:p w14:paraId="26C91834" w14:textId="77777777" w:rsidR="003A44FE" w:rsidRDefault="003A44FE" w:rsidP="001845CD"/>
    <w:p w14:paraId="5AAA407B" w14:textId="787619B4" w:rsidR="00FC7349" w:rsidRDefault="001B3867" w:rsidP="001B3867">
      <w:pPr>
        <w:pStyle w:val="Heading3"/>
      </w:pPr>
      <w:r>
        <w:t>Storage</w:t>
      </w:r>
    </w:p>
    <w:p w14:paraId="61EC55E6" w14:textId="77777777" w:rsidR="001B3867" w:rsidRDefault="001B3867" w:rsidP="001B3867"/>
    <w:p w14:paraId="62F0DDC2" w14:textId="7AA17751" w:rsidR="000F55AC" w:rsidRPr="000F55AC" w:rsidRDefault="001B3867" w:rsidP="000F55AC">
      <w:r w:rsidRPr="00E4460D">
        <w:t xml:space="preserve">Starting </w:t>
      </w:r>
      <w:r w:rsidR="00026769" w:rsidRPr="00E4460D">
        <w:rPr>
          <w:b/>
          <w:bCs/>
        </w:rPr>
        <w:t>(</w:t>
      </w:r>
      <w:r w:rsidR="00BA09FF" w:rsidRPr="00E4460D">
        <w:rPr>
          <w:b/>
          <w:bCs/>
        </w:rPr>
        <w:t>August 16, 2025</w:t>
      </w:r>
      <w:r w:rsidR="00026769" w:rsidRPr="00E4460D">
        <w:rPr>
          <w:b/>
          <w:bCs/>
        </w:rPr>
        <w:t xml:space="preserve">) </w:t>
      </w:r>
      <w:r w:rsidR="006E5F29" w:rsidRPr="00E4460D">
        <w:t>all Erickson</w:t>
      </w:r>
      <w:r w:rsidR="006E5F29">
        <w:t xml:space="preserve"> </w:t>
      </w:r>
      <w:r w:rsidR="00F864AB">
        <w:t xml:space="preserve">basement storage will be assessed for </w:t>
      </w:r>
      <w:r w:rsidR="00706A1D">
        <w:t xml:space="preserve">storage efficiency, need, and functionality. </w:t>
      </w:r>
      <w:r w:rsidR="000F55AC">
        <w:t xml:space="preserve"> </w:t>
      </w:r>
      <w:r w:rsidR="000F55AC" w:rsidRPr="000F55AC">
        <w:t>All documents and media stored in the basement must have a clearly defined destroy-by date, a detailed description, and a justification for why they have not been digitized. This ensures proper accountability, efficient space management, and alignment with record-keeping best practices.</w:t>
      </w:r>
    </w:p>
    <w:p w14:paraId="7E3C9CBE" w14:textId="4D7841C1" w:rsidR="000F55AC" w:rsidRPr="000F55AC" w:rsidRDefault="000F55AC" w:rsidP="000F55AC"/>
    <w:p w14:paraId="2D6B1AB3" w14:textId="052B39CA" w:rsidR="00911242" w:rsidRPr="00E4460D" w:rsidRDefault="000F55AC" w:rsidP="00911242">
      <w:r w:rsidRPr="00E4460D">
        <w:t>Owners of documents or media that do not meet these requirements by the start of the Fall Semester 202</w:t>
      </w:r>
      <w:r w:rsidR="00914177">
        <w:t>5</w:t>
      </w:r>
      <w:r w:rsidRPr="00E4460D">
        <w:t xml:space="preserve"> will be asked to address the issue within 30 days. Items not updated or removed within this timeframe may be subject to secure destruction.</w:t>
      </w:r>
    </w:p>
    <w:p w14:paraId="56A85F57" w14:textId="77777777" w:rsidR="00911242" w:rsidRPr="00E4460D" w:rsidRDefault="00911242" w:rsidP="00911242"/>
    <w:p w14:paraId="77EABB76" w14:textId="24C38014" w:rsidR="00DD6F33" w:rsidRPr="00E4460D" w:rsidRDefault="00347E35" w:rsidP="00347E35">
      <w:pPr>
        <w:pStyle w:val="Heading3"/>
      </w:pPr>
      <w:r w:rsidRPr="00E4460D">
        <w:t>Furniture</w:t>
      </w:r>
      <w:r w:rsidR="00BA09FF" w:rsidRPr="00E4460D">
        <w:t xml:space="preserve"> </w:t>
      </w:r>
    </w:p>
    <w:p w14:paraId="2689AD1C" w14:textId="77777777" w:rsidR="00801F41" w:rsidRPr="00E4460D" w:rsidRDefault="00801F41" w:rsidP="009D294B"/>
    <w:p w14:paraId="025C0876" w14:textId="28C83B32" w:rsidR="00347E35" w:rsidRPr="00E4460D" w:rsidRDefault="00347E35" w:rsidP="009D294B">
      <w:r w:rsidRPr="00E4460D">
        <w:t xml:space="preserve">All existing furniture, department, unit or Dean’s </w:t>
      </w:r>
      <w:r w:rsidR="00952AA2">
        <w:t>O</w:t>
      </w:r>
      <w:r w:rsidRPr="00E4460D">
        <w:t xml:space="preserve">ffice purchased, will </w:t>
      </w:r>
      <w:r w:rsidR="00562212" w:rsidRPr="00E4460D">
        <w:t>move with faculty</w:t>
      </w:r>
      <w:r w:rsidR="00A540D9" w:rsidRPr="00E4460D">
        <w:t xml:space="preserve"> and staff</w:t>
      </w:r>
      <w:r w:rsidR="00165704" w:rsidRPr="00E4460D">
        <w:t xml:space="preserve"> when they change offices with the following exceptions:</w:t>
      </w:r>
    </w:p>
    <w:p w14:paraId="31A34860" w14:textId="30E2521E" w:rsidR="00165704" w:rsidRPr="00E4460D" w:rsidRDefault="00024673" w:rsidP="00165704">
      <w:pPr>
        <w:pStyle w:val="ListParagraph"/>
        <w:numPr>
          <w:ilvl w:val="0"/>
          <w:numId w:val="3"/>
        </w:numPr>
      </w:pPr>
      <w:r w:rsidRPr="00E4460D">
        <w:t>Furniture does not fit in the new space</w:t>
      </w:r>
    </w:p>
    <w:p w14:paraId="1CC0E3E3" w14:textId="670D08EB" w:rsidR="00A540D9" w:rsidRPr="00E4460D" w:rsidRDefault="00A540D9" w:rsidP="00165704">
      <w:pPr>
        <w:pStyle w:val="ListParagraph"/>
        <w:numPr>
          <w:ilvl w:val="0"/>
          <w:numId w:val="3"/>
        </w:numPr>
      </w:pPr>
      <w:r w:rsidRPr="00E4460D">
        <w:t xml:space="preserve">Furniture is a part of a </w:t>
      </w:r>
      <w:r w:rsidR="00EE73B4" w:rsidRPr="00E4460D">
        <w:t>modular workstation</w:t>
      </w:r>
    </w:p>
    <w:p w14:paraId="2766D97E" w14:textId="51439941" w:rsidR="00024673" w:rsidRPr="00E4460D" w:rsidRDefault="00024673" w:rsidP="00165704">
      <w:pPr>
        <w:pStyle w:val="ListParagraph"/>
        <w:numPr>
          <w:ilvl w:val="0"/>
          <w:numId w:val="3"/>
        </w:numPr>
      </w:pPr>
      <w:r w:rsidRPr="00E4460D">
        <w:t xml:space="preserve">Furniture </w:t>
      </w:r>
      <w:r w:rsidR="00396F53" w:rsidRPr="00E4460D">
        <w:t>that is</w:t>
      </w:r>
      <w:r w:rsidRPr="00E4460D">
        <w:t xml:space="preserve"> a part of a Chair</w:t>
      </w:r>
      <w:r w:rsidR="007A1235" w:rsidRPr="00E4460D">
        <w:t>, Dean, Associate Dean,</w:t>
      </w:r>
      <w:r w:rsidRPr="00E4460D">
        <w:t xml:space="preserve"> or </w:t>
      </w:r>
      <w:r w:rsidR="00952AA2">
        <w:t>u</w:t>
      </w:r>
      <w:r w:rsidRPr="00E4460D">
        <w:t xml:space="preserve">nit </w:t>
      </w:r>
      <w:r w:rsidR="00952AA2">
        <w:t>l</w:t>
      </w:r>
      <w:r w:rsidRPr="00E4460D">
        <w:t>eader’s office</w:t>
      </w:r>
    </w:p>
    <w:p w14:paraId="52FA08B5" w14:textId="77777777" w:rsidR="0089620F" w:rsidRPr="00E4460D" w:rsidRDefault="0089620F" w:rsidP="007A1235"/>
    <w:p w14:paraId="3F0666C0" w14:textId="06941C9B" w:rsidR="007A1235" w:rsidRDefault="007A1235" w:rsidP="007A1235">
      <w:r w:rsidRPr="00E4460D">
        <w:t xml:space="preserve">If new furniture is purchased </w:t>
      </w:r>
      <w:r w:rsidR="00F73D15" w:rsidRPr="00E4460D">
        <w:t>for faculty or staff</w:t>
      </w:r>
      <w:r w:rsidR="00080CD0">
        <w:t>,</w:t>
      </w:r>
      <w:r w:rsidR="00F73D15" w:rsidRPr="00E4460D">
        <w:t xml:space="preserve"> </w:t>
      </w:r>
      <w:r w:rsidRPr="00E4460D">
        <w:t xml:space="preserve">the furniture </w:t>
      </w:r>
      <w:r w:rsidR="00910FF6">
        <w:t xml:space="preserve">being replaced </w:t>
      </w:r>
      <w:r w:rsidRPr="00E4460D">
        <w:t xml:space="preserve">will be returned to the </w:t>
      </w:r>
      <w:r w:rsidR="000F55AC" w:rsidRPr="00E4460D">
        <w:t>Facilities</w:t>
      </w:r>
      <w:r w:rsidRPr="00E4460D">
        <w:t xml:space="preserve"> Office for reassignment.</w:t>
      </w:r>
    </w:p>
    <w:p w14:paraId="54D4AE19" w14:textId="77777777" w:rsidR="00F73D15" w:rsidRDefault="00F73D15" w:rsidP="007A1235"/>
    <w:p w14:paraId="685BDFDB" w14:textId="51102806" w:rsidR="001845CD" w:rsidRDefault="00F73D15" w:rsidP="007A1235">
      <w:r>
        <w:t>When faculty or staf</w:t>
      </w:r>
      <w:r w:rsidR="009917AA">
        <w:t>f</w:t>
      </w:r>
      <w:r w:rsidR="00955DEC">
        <w:t xml:space="preserve"> retire or leave </w:t>
      </w:r>
      <w:r w:rsidR="000F55AC">
        <w:t xml:space="preserve">the </w:t>
      </w:r>
      <w:r w:rsidR="00E96AC9">
        <w:t xml:space="preserve">department, unit, or </w:t>
      </w:r>
      <w:r w:rsidR="00952AA2">
        <w:t>c</w:t>
      </w:r>
      <w:r w:rsidR="00E96AC9">
        <w:t xml:space="preserve">ollege </w:t>
      </w:r>
      <w:r w:rsidR="008026B9">
        <w:t>purchased f</w:t>
      </w:r>
      <w:r w:rsidR="004F0A13">
        <w:t xml:space="preserve">urniture will be returned to the </w:t>
      </w:r>
      <w:r w:rsidR="00F677FC">
        <w:t>Facilities</w:t>
      </w:r>
      <w:r w:rsidR="004F0A13">
        <w:t xml:space="preserve"> Office for </w:t>
      </w:r>
      <w:r w:rsidR="00B65BCD">
        <w:t>reassignment.</w:t>
      </w:r>
    </w:p>
    <w:p w14:paraId="3A112C3B" w14:textId="77777777" w:rsidR="00F8055F" w:rsidRDefault="00F8055F" w:rsidP="007A1235"/>
    <w:p w14:paraId="3D19F1A5" w14:textId="1A2B05A2" w:rsidR="00911242" w:rsidRDefault="009B445C" w:rsidP="007A1235">
      <w:r>
        <w:t xml:space="preserve">Any furniture or office changes </w:t>
      </w:r>
      <w:r w:rsidR="004258E4">
        <w:t>to accommodate employee</w:t>
      </w:r>
      <w:r w:rsidR="00911242">
        <w:t xml:space="preserve"> needs should be initiated through </w:t>
      </w:r>
      <w:hyperlink r:id="rId7" w:history="1">
        <w:r w:rsidR="00911242" w:rsidRPr="00952AA2">
          <w:rPr>
            <w:rStyle w:val="Hyperlink"/>
          </w:rPr>
          <w:t>Resource Center for Persons with Disabilities (RCPD)</w:t>
        </w:r>
      </w:hyperlink>
      <w:r w:rsidR="00952AA2">
        <w:t>.</w:t>
      </w:r>
    </w:p>
    <w:p w14:paraId="55D4EF55" w14:textId="77777777" w:rsidR="00911242" w:rsidRDefault="00911242" w:rsidP="007A1235"/>
    <w:p w14:paraId="200279E5" w14:textId="77777777" w:rsidR="00176E21" w:rsidRDefault="00176E21">
      <w:pPr>
        <w:rPr>
          <w:rFonts w:eastAsiaTheme="majorEastAsia" w:cstheme="majorBidi"/>
          <w:color w:val="0F4761" w:themeColor="accent1" w:themeShade="BF"/>
          <w:sz w:val="28"/>
          <w:szCs w:val="28"/>
        </w:rPr>
      </w:pPr>
      <w:r>
        <w:br w:type="page"/>
      </w:r>
    </w:p>
    <w:p w14:paraId="6C8BEB79" w14:textId="132C27E0" w:rsidR="008A5099" w:rsidRDefault="008A5099" w:rsidP="008A5099">
      <w:pPr>
        <w:pStyle w:val="Heading3"/>
      </w:pPr>
      <w:r>
        <w:lastRenderedPageBreak/>
        <w:t xml:space="preserve">New Space Requests or </w:t>
      </w:r>
      <w:r w:rsidR="00FD756E">
        <w:t>Transitions</w:t>
      </w:r>
    </w:p>
    <w:p w14:paraId="6DA6AC36" w14:textId="77777777" w:rsidR="008A5099" w:rsidRDefault="008A5099" w:rsidP="009D294B"/>
    <w:p w14:paraId="711ABE4B" w14:textId="7FE8127E" w:rsidR="00801F41" w:rsidRDefault="00125B8B" w:rsidP="009D294B">
      <w:r w:rsidRPr="00E4460D">
        <w:t xml:space="preserve">Starting </w:t>
      </w:r>
      <w:r w:rsidR="00911242" w:rsidRPr="00E4460D">
        <w:rPr>
          <w:b/>
          <w:bCs/>
        </w:rPr>
        <w:t>(</w:t>
      </w:r>
      <w:r w:rsidR="00074C85" w:rsidRPr="00E4460D">
        <w:rPr>
          <w:b/>
          <w:bCs/>
        </w:rPr>
        <w:t>July 1, 2025</w:t>
      </w:r>
      <w:r w:rsidR="00911242" w:rsidRPr="00E4460D">
        <w:rPr>
          <w:b/>
          <w:bCs/>
        </w:rPr>
        <w:t>)</w:t>
      </w:r>
      <w:r w:rsidR="0016543A" w:rsidRPr="00E4460D">
        <w:t xml:space="preserve"> </w:t>
      </w:r>
      <w:r w:rsidR="004467C5" w:rsidRPr="00E4460D">
        <w:t>all</w:t>
      </w:r>
      <w:r w:rsidR="00557C0D" w:rsidRPr="00E4460D">
        <w:t xml:space="preserve"> new space</w:t>
      </w:r>
      <w:r w:rsidR="00557C0D">
        <w:t xml:space="preserve"> requests</w:t>
      </w:r>
      <w:r w:rsidR="00332056">
        <w:t xml:space="preserve"> </w:t>
      </w:r>
      <w:r w:rsidR="00AF4DC8">
        <w:t xml:space="preserve">and </w:t>
      </w:r>
      <w:r w:rsidR="003B06B5">
        <w:t>employee</w:t>
      </w:r>
      <w:r w:rsidR="00AF4DC8">
        <w:t xml:space="preserve"> </w:t>
      </w:r>
      <w:r w:rsidR="003B06B5">
        <w:t xml:space="preserve">space </w:t>
      </w:r>
      <w:r w:rsidR="00332056">
        <w:t>transitions</w:t>
      </w:r>
      <w:r w:rsidR="00AF4DC8">
        <w:t xml:space="preserve"> must be submitted and approved through the </w:t>
      </w:r>
      <w:r w:rsidR="000F55AC">
        <w:t>F</w:t>
      </w:r>
      <w:r w:rsidR="00A64DA0">
        <w:t xml:space="preserve">acilities </w:t>
      </w:r>
      <w:r w:rsidR="00952AA2">
        <w:t>O</w:t>
      </w:r>
      <w:r w:rsidR="00A64DA0">
        <w:t>ffice</w:t>
      </w:r>
      <w:r w:rsidR="00AF4DC8">
        <w:t>.</w:t>
      </w:r>
      <w:r w:rsidR="001C573F">
        <w:t xml:space="preserve"> The </w:t>
      </w:r>
      <w:r w:rsidR="00B936F5">
        <w:t>following</w:t>
      </w:r>
      <w:r w:rsidR="001C573F">
        <w:t xml:space="preserve"> will </w:t>
      </w:r>
      <w:r w:rsidR="00B936F5">
        <w:t xml:space="preserve">be </w:t>
      </w:r>
      <w:r w:rsidR="000F55AC">
        <w:t>considered</w:t>
      </w:r>
      <w:r w:rsidR="001C573F">
        <w:t xml:space="preserve"> </w:t>
      </w:r>
      <w:r w:rsidR="00926784">
        <w:t>when reviewing these requests:</w:t>
      </w:r>
    </w:p>
    <w:p w14:paraId="49639F85" w14:textId="77777777" w:rsidR="00333E7C" w:rsidRDefault="00333E7C" w:rsidP="009D294B"/>
    <w:p w14:paraId="0EDF2F5E" w14:textId="784BDC6B" w:rsidR="00926784" w:rsidRDefault="00F96C2F" w:rsidP="00926784">
      <w:pPr>
        <w:pStyle w:val="ListParagraph"/>
        <w:numPr>
          <w:ilvl w:val="0"/>
          <w:numId w:val="1"/>
        </w:numPr>
      </w:pPr>
      <w:r>
        <w:t>Strategic importance</w:t>
      </w:r>
    </w:p>
    <w:p w14:paraId="018E6012" w14:textId="5EBE5B98" w:rsidR="005C3A7F" w:rsidRDefault="005C3A7F" w:rsidP="00926784">
      <w:pPr>
        <w:pStyle w:val="ListParagraph"/>
        <w:numPr>
          <w:ilvl w:val="0"/>
          <w:numId w:val="1"/>
        </w:numPr>
      </w:pPr>
      <w:r>
        <w:t>Intended use of the space</w:t>
      </w:r>
    </w:p>
    <w:p w14:paraId="5E99F84E" w14:textId="6536E33B" w:rsidR="00F96C2F" w:rsidRDefault="002C5AE3" w:rsidP="00926784">
      <w:pPr>
        <w:pStyle w:val="ListParagraph"/>
        <w:numPr>
          <w:ilvl w:val="0"/>
          <w:numId w:val="1"/>
        </w:numPr>
      </w:pPr>
      <w:r>
        <w:t>Employee(s) hybrid work schedule</w:t>
      </w:r>
      <w:r w:rsidR="005C3A7F">
        <w:t xml:space="preserve"> (if occupied)</w:t>
      </w:r>
    </w:p>
    <w:p w14:paraId="435982E6" w14:textId="577B42DC" w:rsidR="002C5AE3" w:rsidRDefault="0006173C" w:rsidP="00926784">
      <w:pPr>
        <w:pStyle w:val="ListParagraph"/>
        <w:numPr>
          <w:ilvl w:val="0"/>
          <w:numId w:val="1"/>
        </w:numPr>
      </w:pPr>
      <w:r>
        <w:t xml:space="preserve">Proximity to </w:t>
      </w:r>
      <w:r w:rsidR="00734015">
        <w:t xml:space="preserve">department or unit </w:t>
      </w:r>
      <w:r w:rsidR="0067711E">
        <w:t>f</w:t>
      </w:r>
      <w:r w:rsidR="00734015">
        <w:t xml:space="preserve">aculty, support staff, students, and </w:t>
      </w:r>
      <w:r w:rsidR="0067711E">
        <w:t>department or unit equipment.</w:t>
      </w:r>
    </w:p>
    <w:p w14:paraId="356A96F0" w14:textId="57EF8DE8" w:rsidR="0006173C" w:rsidRDefault="00BD0F52" w:rsidP="00926784">
      <w:pPr>
        <w:pStyle w:val="ListParagraph"/>
        <w:numPr>
          <w:ilvl w:val="0"/>
          <w:numId w:val="1"/>
        </w:numPr>
      </w:pPr>
      <w:r>
        <w:t xml:space="preserve">Employee </w:t>
      </w:r>
      <w:r w:rsidR="00EE2B1F">
        <w:t xml:space="preserve">longevity and </w:t>
      </w:r>
      <w:r w:rsidR="0038703C">
        <w:t>position</w:t>
      </w:r>
    </w:p>
    <w:p w14:paraId="2148F5AF" w14:textId="77777777" w:rsidR="00332056" w:rsidRDefault="00332056" w:rsidP="00332056"/>
    <w:p w14:paraId="271AA6B6" w14:textId="63EB94BB" w:rsidR="00E170B3" w:rsidRDefault="00E170B3" w:rsidP="00332056">
      <w:r>
        <w:t>All major space assignments and space changes unrelated to research space will be determined by the Space Planning Committee.</w:t>
      </w:r>
    </w:p>
    <w:p w14:paraId="260D365F" w14:textId="77777777" w:rsidR="00E170B3" w:rsidRDefault="00E170B3" w:rsidP="00332056"/>
    <w:p w14:paraId="3BC2D3EA" w14:textId="09BDBAD8" w:rsidR="00E170B3" w:rsidRDefault="00332056" w:rsidP="00A516E6">
      <w:r>
        <w:t>Research space requests</w:t>
      </w:r>
      <w:r w:rsidR="004467C5">
        <w:t xml:space="preserve"> and changes</w:t>
      </w:r>
      <w:r>
        <w:t xml:space="preserve"> </w:t>
      </w:r>
      <w:r w:rsidR="004467C5">
        <w:t>are</w:t>
      </w:r>
      <w:r>
        <w:t xml:space="preserve"> covered under a separate policy document</w:t>
      </w:r>
      <w:r w:rsidR="004B69F0">
        <w:t xml:space="preserve"> located on the </w:t>
      </w:r>
      <w:hyperlink r:id="rId8" w:history="1">
        <w:r w:rsidR="004B69F0" w:rsidRPr="004B69F0">
          <w:rPr>
            <w:rStyle w:val="Hyperlink"/>
          </w:rPr>
          <w:t>College Resources</w:t>
        </w:r>
      </w:hyperlink>
      <w:r w:rsidR="004B69F0">
        <w:t xml:space="preserve"> page.</w:t>
      </w:r>
    </w:p>
    <w:p w14:paraId="3333682B" w14:textId="475B55A8" w:rsidR="00EA75E0" w:rsidRDefault="002E1CD5" w:rsidP="005744F8">
      <w:pPr>
        <w:pStyle w:val="Heading3"/>
      </w:pPr>
      <w:r>
        <w:t>Paint</w:t>
      </w:r>
      <w:r w:rsidR="00EA75E0">
        <w:t>ing and Paint</w:t>
      </w:r>
      <w:r w:rsidR="00886729">
        <w:t xml:space="preserve"> Color</w:t>
      </w:r>
    </w:p>
    <w:p w14:paraId="62148565" w14:textId="77777777" w:rsidR="005744F8" w:rsidRPr="005744F8" w:rsidRDefault="005744F8" w:rsidP="005744F8"/>
    <w:p w14:paraId="4814EDB8" w14:textId="6087F4C2" w:rsidR="002D6CC0" w:rsidRDefault="002D6CC0" w:rsidP="00CE3D79">
      <w:r>
        <w:t xml:space="preserve">Paint color will be either the </w:t>
      </w:r>
      <w:r w:rsidR="00952AA2">
        <w:t>c</w:t>
      </w:r>
      <w:r>
        <w:t xml:space="preserve">ollege standard (currently </w:t>
      </w:r>
      <w:r w:rsidR="00886729">
        <w:t xml:space="preserve">Shoji White) or as recommended by </w:t>
      </w:r>
      <w:proofErr w:type="gramStart"/>
      <w:r w:rsidR="00886729">
        <w:t>University</w:t>
      </w:r>
      <w:proofErr w:type="gramEnd"/>
      <w:r w:rsidR="00886729">
        <w:t xml:space="preserve"> designers.</w:t>
      </w:r>
    </w:p>
    <w:p w14:paraId="4A82E299" w14:textId="77777777" w:rsidR="00467A79" w:rsidRDefault="00467A79" w:rsidP="00CE3D79"/>
    <w:p w14:paraId="76297388" w14:textId="601F4BF5" w:rsidR="00886729" w:rsidRPr="002E1CD5" w:rsidRDefault="00467A79" w:rsidP="002E1CD5">
      <w:r>
        <w:t>As a reminder, MSU explicitly prohibits unlicensed painters from painting University property.</w:t>
      </w:r>
    </w:p>
    <w:p w14:paraId="6DB38A47" w14:textId="4E333CC1" w:rsidR="00C602F6" w:rsidRDefault="00FA17F4" w:rsidP="00C602F6">
      <w:pPr>
        <w:pStyle w:val="Heading3"/>
      </w:pPr>
      <w:r>
        <w:t>Department and Unit Initial</w:t>
      </w:r>
      <w:r w:rsidR="00C602F6">
        <w:t xml:space="preserve"> Space Plan</w:t>
      </w:r>
      <w:r w:rsidR="00EC7FCA">
        <w:t>s</w:t>
      </w:r>
    </w:p>
    <w:p w14:paraId="15E3A6B4" w14:textId="77777777" w:rsidR="00C602F6" w:rsidRDefault="00C602F6" w:rsidP="00A516E6"/>
    <w:p w14:paraId="1E6EE46A" w14:textId="0377962F" w:rsidR="00333E7C" w:rsidRDefault="000F55AC" w:rsidP="00A516E6">
      <w:r w:rsidRPr="00910FF6">
        <w:t xml:space="preserve">By </w:t>
      </w:r>
      <w:r w:rsidRPr="00910FF6">
        <w:rPr>
          <w:b/>
          <w:bCs/>
        </w:rPr>
        <w:t>(</w:t>
      </w:r>
      <w:r w:rsidR="00074C85" w:rsidRPr="00910FF6">
        <w:rPr>
          <w:b/>
          <w:bCs/>
        </w:rPr>
        <w:t>May 15, 2025</w:t>
      </w:r>
      <w:r w:rsidRPr="00910FF6">
        <w:rPr>
          <w:b/>
          <w:bCs/>
        </w:rPr>
        <w:t xml:space="preserve">), </w:t>
      </w:r>
      <w:r w:rsidRPr="00910FF6">
        <w:t>all departments</w:t>
      </w:r>
      <w:r w:rsidRPr="000F55AC">
        <w:t xml:space="preserve"> and units will be asked to develop and submit an initial space plan that includes:</w:t>
      </w:r>
    </w:p>
    <w:p w14:paraId="2E50D295" w14:textId="77777777" w:rsidR="000F55AC" w:rsidRDefault="000F55AC" w:rsidP="00A516E6"/>
    <w:p w14:paraId="4184315D" w14:textId="31F29BDC" w:rsidR="005F7F43" w:rsidRDefault="00692D83" w:rsidP="009D2A63">
      <w:pPr>
        <w:pStyle w:val="ListParagraph"/>
        <w:numPr>
          <w:ilvl w:val="0"/>
          <w:numId w:val="2"/>
        </w:numPr>
      </w:pPr>
      <w:r>
        <w:t>A catalog of space</w:t>
      </w:r>
      <w:r w:rsidR="00230840">
        <w:t xml:space="preserve"> currently</w:t>
      </w:r>
      <w:r w:rsidR="00D25494">
        <w:t xml:space="preserve"> assigned</w:t>
      </w:r>
      <w:r w:rsidR="005F7F43">
        <w:t xml:space="preserve"> </w:t>
      </w:r>
      <w:r>
        <w:t>to</w:t>
      </w:r>
      <w:r w:rsidR="005F7F43">
        <w:t xml:space="preserve"> employees</w:t>
      </w:r>
      <w:r w:rsidR="00D25494">
        <w:t xml:space="preserve"> </w:t>
      </w:r>
      <w:r w:rsidR="00230840">
        <w:t>that includes</w:t>
      </w:r>
      <w:r w:rsidR="005F7F43">
        <w:t>:</w:t>
      </w:r>
    </w:p>
    <w:p w14:paraId="40C2C43A" w14:textId="0B054622" w:rsidR="005F7F43" w:rsidRDefault="005F7F43" w:rsidP="005F7F43">
      <w:pPr>
        <w:pStyle w:val="ListParagraph"/>
        <w:numPr>
          <w:ilvl w:val="1"/>
          <w:numId w:val="2"/>
        </w:numPr>
      </w:pPr>
      <w:r>
        <w:t>Name, location, and title</w:t>
      </w:r>
    </w:p>
    <w:p w14:paraId="0FE4EF35" w14:textId="42D08384" w:rsidR="008909BF" w:rsidRDefault="008909BF" w:rsidP="005F7F43">
      <w:pPr>
        <w:pStyle w:val="ListParagraph"/>
        <w:numPr>
          <w:ilvl w:val="1"/>
          <w:numId w:val="2"/>
        </w:numPr>
      </w:pPr>
      <w:r>
        <w:t>Job functions</w:t>
      </w:r>
    </w:p>
    <w:p w14:paraId="4572E154" w14:textId="0617A504" w:rsidR="00A266A2" w:rsidRDefault="00A266A2" w:rsidP="005F7F43">
      <w:pPr>
        <w:pStyle w:val="ListParagraph"/>
        <w:numPr>
          <w:ilvl w:val="1"/>
          <w:numId w:val="2"/>
        </w:numPr>
      </w:pPr>
      <w:r>
        <w:t xml:space="preserve">In-person work schedules for </w:t>
      </w:r>
      <w:r w:rsidR="00DC0361">
        <w:t xml:space="preserve">all </w:t>
      </w:r>
      <w:r>
        <w:t>individuals</w:t>
      </w:r>
    </w:p>
    <w:p w14:paraId="01F462AE" w14:textId="01C492F6" w:rsidR="001D5FAE" w:rsidRDefault="001D5FAE" w:rsidP="005F7F43">
      <w:pPr>
        <w:pStyle w:val="ListParagraph"/>
        <w:numPr>
          <w:ilvl w:val="1"/>
          <w:numId w:val="2"/>
        </w:numPr>
      </w:pPr>
      <w:r>
        <w:t xml:space="preserve">Any </w:t>
      </w:r>
      <w:r w:rsidR="00C5206F">
        <w:t xml:space="preserve">existing </w:t>
      </w:r>
      <w:r>
        <w:t>RCPD accommodations with supporting documents</w:t>
      </w:r>
    </w:p>
    <w:p w14:paraId="4E3808F8" w14:textId="5B7726E5" w:rsidR="00B647A6" w:rsidRDefault="00F3433F" w:rsidP="009D2A63">
      <w:pPr>
        <w:pStyle w:val="ListParagraph"/>
        <w:numPr>
          <w:ilvl w:val="0"/>
          <w:numId w:val="2"/>
        </w:numPr>
      </w:pPr>
      <w:r>
        <w:t xml:space="preserve">A </w:t>
      </w:r>
      <w:r w:rsidR="00FC76EF">
        <w:t>catalog</w:t>
      </w:r>
      <w:r w:rsidR="00C36F36">
        <w:t xml:space="preserve"> </w:t>
      </w:r>
      <w:r>
        <w:t>of the contents of all storage areas</w:t>
      </w:r>
      <w:r w:rsidR="009849C3">
        <w:t xml:space="preserve"> that includes:</w:t>
      </w:r>
    </w:p>
    <w:p w14:paraId="0442DF01" w14:textId="70A24EA7" w:rsidR="009849C3" w:rsidRDefault="00387069" w:rsidP="009849C3">
      <w:pPr>
        <w:pStyle w:val="ListParagraph"/>
        <w:numPr>
          <w:ilvl w:val="1"/>
          <w:numId w:val="2"/>
        </w:numPr>
      </w:pPr>
      <w:r>
        <w:t>Identifying</w:t>
      </w:r>
      <w:r w:rsidR="005E1EBC">
        <w:t xml:space="preserve"> documents can and cannot be digitized and why</w:t>
      </w:r>
    </w:p>
    <w:p w14:paraId="5E1F8D35" w14:textId="2B5BABCA" w:rsidR="005E1EBC" w:rsidRDefault="00D43F33" w:rsidP="009849C3">
      <w:pPr>
        <w:pStyle w:val="ListParagraph"/>
        <w:numPr>
          <w:ilvl w:val="1"/>
          <w:numId w:val="2"/>
        </w:numPr>
      </w:pPr>
      <w:r>
        <w:t xml:space="preserve">How long is storage </w:t>
      </w:r>
      <w:r w:rsidR="00FC76EF">
        <w:t>is needed for</w:t>
      </w:r>
      <w:r>
        <w:t xml:space="preserve"> items and why</w:t>
      </w:r>
    </w:p>
    <w:p w14:paraId="69CE5D78" w14:textId="5B01B281" w:rsidR="008707CD" w:rsidRDefault="00FC76EF" w:rsidP="000D5482">
      <w:pPr>
        <w:pStyle w:val="ListParagraph"/>
        <w:numPr>
          <w:ilvl w:val="1"/>
          <w:numId w:val="2"/>
        </w:numPr>
      </w:pPr>
      <w:r>
        <w:t xml:space="preserve">Last </w:t>
      </w:r>
      <w:r w:rsidR="00044CE8">
        <w:t>audit the department or unit made of storage</w:t>
      </w:r>
      <w:r w:rsidR="00DB1D2D">
        <w:t xml:space="preserve"> spaces</w:t>
      </w:r>
    </w:p>
    <w:p w14:paraId="4F5C666B" w14:textId="77777777" w:rsidR="00F04761" w:rsidRDefault="00692D83" w:rsidP="00692D83">
      <w:pPr>
        <w:pStyle w:val="ListParagraph"/>
        <w:numPr>
          <w:ilvl w:val="0"/>
          <w:numId w:val="2"/>
        </w:numPr>
      </w:pPr>
      <w:r>
        <w:t xml:space="preserve">A </w:t>
      </w:r>
      <w:r w:rsidR="006A2B65">
        <w:t>catalog of space not being used for</w:t>
      </w:r>
      <w:r w:rsidR="00B87454">
        <w:t xml:space="preserve"> employees</w:t>
      </w:r>
      <w:r w:rsidR="00F04761">
        <w:t xml:space="preserve"> or storage that includes:</w:t>
      </w:r>
    </w:p>
    <w:p w14:paraId="49FFC529" w14:textId="783AE16C" w:rsidR="00FD12CC" w:rsidRDefault="00387069" w:rsidP="00F04761">
      <w:pPr>
        <w:pStyle w:val="ListParagraph"/>
        <w:numPr>
          <w:ilvl w:val="1"/>
          <w:numId w:val="2"/>
        </w:numPr>
      </w:pPr>
      <w:r>
        <w:t>Explanation of what</w:t>
      </w:r>
      <w:r w:rsidR="00FD12CC">
        <w:t xml:space="preserve"> the space is used for</w:t>
      </w:r>
    </w:p>
    <w:p w14:paraId="7FBC628D" w14:textId="7C58B24A" w:rsidR="00B647A6" w:rsidRDefault="00FD12CC" w:rsidP="003F6FA1">
      <w:pPr>
        <w:pStyle w:val="ListParagraph"/>
        <w:numPr>
          <w:ilvl w:val="1"/>
          <w:numId w:val="2"/>
        </w:numPr>
      </w:pPr>
      <w:r>
        <w:lastRenderedPageBreak/>
        <w:t>How often the space is used for the above use</w:t>
      </w:r>
      <w:r w:rsidR="00692D83">
        <w:t xml:space="preserve"> </w:t>
      </w:r>
    </w:p>
    <w:p w14:paraId="51CCA727" w14:textId="7428EB0D" w:rsidR="000F5D23" w:rsidRDefault="00317D09" w:rsidP="00900FA0">
      <w:pPr>
        <w:pStyle w:val="ListParagraph"/>
        <w:numPr>
          <w:ilvl w:val="0"/>
          <w:numId w:val="2"/>
        </w:numPr>
      </w:pPr>
      <w:r>
        <w:t>New non-research space requests</w:t>
      </w:r>
      <w:r w:rsidR="001442E4">
        <w:t xml:space="preserve"> for</w:t>
      </w:r>
      <w:r w:rsidR="00952AA2">
        <w:t xml:space="preserve"> Fall</w:t>
      </w:r>
      <w:r w:rsidR="001442E4">
        <w:t xml:space="preserve"> </w:t>
      </w:r>
      <w:r w:rsidR="00952AA2">
        <w:t>S</w:t>
      </w:r>
      <w:r w:rsidR="001442E4">
        <w:t>emester 2025</w:t>
      </w:r>
    </w:p>
    <w:p w14:paraId="2BAA1DD0" w14:textId="77777777" w:rsidR="00DD3AC4" w:rsidRDefault="00DD3AC4" w:rsidP="00DD3AC4"/>
    <w:p w14:paraId="13D6CC79" w14:textId="7E3A2109" w:rsidR="00A200F4" w:rsidRDefault="00C86083" w:rsidP="00BE347B">
      <w:r>
        <w:t xml:space="preserve">Research space requests and changes are covered under a separate policy document located on the </w:t>
      </w:r>
      <w:hyperlink r:id="rId9" w:history="1">
        <w:r w:rsidRPr="004B69F0">
          <w:rPr>
            <w:rStyle w:val="Hyperlink"/>
          </w:rPr>
          <w:t>College Resources</w:t>
        </w:r>
      </w:hyperlink>
      <w:r>
        <w:t xml:space="preserve"> page.</w:t>
      </w:r>
    </w:p>
    <w:p w14:paraId="33D1859F" w14:textId="77777777" w:rsidR="00BE347B" w:rsidRDefault="00BE347B" w:rsidP="00BE347B"/>
    <w:p w14:paraId="67C34361" w14:textId="425075B0" w:rsidR="00A200F4" w:rsidRDefault="00A72BAF" w:rsidP="00F57088">
      <w:pPr>
        <w:pStyle w:val="Heading2"/>
      </w:pPr>
      <w:r>
        <w:t>Financial Cost</w:t>
      </w:r>
    </w:p>
    <w:p w14:paraId="6636E6B0" w14:textId="77777777" w:rsidR="00886729" w:rsidRPr="00886729" w:rsidRDefault="00886729" w:rsidP="00886729"/>
    <w:p w14:paraId="0F951D23" w14:textId="1D91156E" w:rsidR="00A72BAF" w:rsidRDefault="00F31844" w:rsidP="00A72BAF">
      <w:r w:rsidRPr="00F31844">
        <w:t>The availability of funding will influence whether certain projects, repairs, or new furniture can proceed, as well as the timeline for completion. For higher-cost projects to move forward, the college may need to explore cost-sharing opportunities with departments and/or University Facilities Planning and Space Management (FPSM).</w:t>
      </w:r>
      <w:r>
        <w:t xml:space="preserve"> </w:t>
      </w:r>
    </w:p>
    <w:p w14:paraId="58D8AA82" w14:textId="77777777" w:rsidR="00F31844" w:rsidRDefault="00F31844" w:rsidP="00A72BAF"/>
    <w:p w14:paraId="3043A195" w14:textId="67418D5A" w:rsidR="00EE07A3" w:rsidRDefault="00EE07A3" w:rsidP="00A72BAF">
      <w:r>
        <w:t>Projects over $20,000 require FPSM approval which can add anywhere from a week to a month of additional approval time. During this time FPSM will ask for justification</w:t>
      </w:r>
      <w:r w:rsidR="00E32E57">
        <w:t xml:space="preserve"> and may ask other questions.</w:t>
      </w:r>
    </w:p>
    <w:p w14:paraId="6A794193" w14:textId="77777777" w:rsidR="00E32E57" w:rsidRDefault="00E32E57" w:rsidP="00A72BAF"/>
    <w:p w14:paraId="45F92CEA" w14:textId="60CE3839" w:rsidR="00E32E57" w:rsidRDefault="00E32E57" w:rsidP="00A72BAF">
      <w:r>
        <w:t xml:space="preserve">Remodel projects or very large furniture projects will require </w:t>
      </w:r>
      <w:r w:rsidR="001669B7">
        <w:t>Infrastructure Planning and Facilities (</w:t>
      </w:r>
      <w:r>
        <w:t>IPF</w:t>
      </w:r>
      <w:r w:rsidR="001669B7">
        <w:t>)</w:t>
      </w:r>
      <w:r>
        <w:t xml:space="preserve"> to assign</w:t>
      </w:r>
      <w:r w:rsidR="001669B7">
        <w:t xml:space="preserve"> a</w:t>
      </w:r>
      <w:r w:rsidR="00952AA2">
        <w:t>n</w:t>
      </w:r>
      <w:r w:rsidR="001669B7">
        <w:t xml:space="preserve"> MSU </w:t>
      </w:r>
      <w:r w:rsidR="00BE347B">
        <w:t xml:space="preserve">designer which, depending on workload, can </w:t>
      </w:r>
      <w:proofErr w:type="gramStart"/>
      <w:r w:rsidR="00BE347B">
        <w:t>impact  project</w:t>
      </w:r>
      <w:proofErr w:type="gramEnd"/>
      <w:r w:rsidR="00BE347B">
        <w:t xml:space="preserve"> timelines.</w:t>
      </w:r>
    </w:p>
    <w:p w14:paraId="4A7AA361" w14:textId="77777777" w:rsidR="00622A97" w:rsidRDefault="00622A97" w:rsidP="00A72BAF"/>
    <w:p w14:paraId="40D85A64" w14:textId="4DA29783" w:rsidR="00622A97" w:rsidRDefault="00622A97" w:rsidP="00A049AB">
      <w:pPr>
        <w:pStyle w:val="Heading2"/>
      </w:pPr>
      <w:r>
        <w:t>Timeline for Services</w:t>
      </w:r>
    </w:p>
    <w:p w14:paraId="613BE02B" w14:textId="0EC32CA8" w:rsidR="00622A97" w:rsidRDefault="00A049AB" w:rsidP="00A049AB">
      <w:pPr>
        <w:pStyle w:val="Heading3"/>
      </w:pPr>
      <w:r>
        <w:t>Furniture</w:t>
      </w:r>
    </w:p>
    <w:p w14:paraId="7C26AE9F" w14:textId="77777777" w:rsidR="00CD51A7" w:rsidRDefault="004D6FF9" w:rsidP="00466A61">
      <w:pPr>
        <w:pStyle w:val="ListParagraph"/>
        <w:numPr>
          <w:ilvl w:val="0"/>
          <w:numId w:val="4"/>
        </w:numPr>
      </w:pPr>
      <w:r>
        <w:t>Design:</w:t>
      </w:r>
    </w:p>
    <w:p w14:paraId="30C06B1E" w14:textId="1F413C6E" w:rsidR="00466A61" w:rsidRDefault="004D6FF9" w:rsidP="00CD51A7">
      <w:pPr>
        <w:pStyle w:val="ListParagraph"/>
        <w:numPr>
          <w:ilvl w:val="1"/>
          <w:numId w:val="4"/>
        </w:numPr>
      </w:pPr>
      <w:r>
        <w:t xml:space="preserve">1 – 2 weeks for small projects, 3 – 5 </w:t>
      </w:r>
      <w:r w:rsidR="004620CF">
        <w:t xml:space="preserve">weeks </w:t>
      </w:r>
      <w:r>
        <w:t>for large projects.</w:t>
      </w:r>
    </w:p>
    <w:p w14:paraId="762C414D" w14:textId="77777777" w:rsidR="00CD51A7" w:rsidRDefault="00CD51A7" w:rsidP="00466A61">
      <w:pPr>
        <w:pStyle w:val="ListParagraph"/>
        <w:numPr>
          <w:ilvl w:val="0"/>
          <w:numId w:val="4"/>
        </w:numPr>
      </w:pPr>
      <w:r>
        <w:t>MSU Purchasing approval and PO:</w:t>
      </w:r>
    </w:p>
    <w:p w14:paraId="27612737" w14:textId="6FBFD142" w:rsidR="004D6FF9" w:rsidRDefault="00CD51A7" w:rsidP="00CD51A7">
      <w:pPr>
        <w:pStyle w:val="ListParagraph"/>
        <w:numPr>
          <w:ilvl w:val="1"/>
          <w:numId w:val="4"/>
        </w:numPr>
      </w:pPr>
      <w:r>
        <w:t xml:space="preserve">1 – 2 weeks for small projects, 3 – 5 </w:t>
      </w:r>
      <w:r w:rsidR="004620CF">
        <w:t xml:space="preserve">weeks </w:t>
      </w:r>
      <w:r>
        <w:t>for large projects.</w:t>
      </w:r>
    </w:p>
    <w:p w14:paraId="49689E19" w14:textId="60924FDD" w:rsidR="00CD51A7" w:rsidRDefault="004C4C50" w:rsidP="00CD51A7">
      <w:pPr>
        <w:pStyle w:val="ListParagraph"/>
        <w:numPr>
          <w:ilvl w:val="0"/>
          <w:numId w:val="4"/>
        </w:numPr>
      </w:pPr>
      <w:r>
        <w:t>Furniture manufacturing:</w:t>
      </w:r>
    </w:p>
    <w:p w14:paraId="17ECC399" w14:textId="34442D4F" w:rsidR="004C4C50" w:rsidRDefault="004C4C50" w:rsidP="004C4C50">
      <w:pPr>
        <w:pStyle w:val="ListParagraph"/>
        <w:numPr>
          <w:ilvl w:val="1"/>
          <w:numId w:val="4"/>
        </w:numPr>
      </w:pPr>
      <w:r>
        <w:t>5-</w:t>
      </w:r>
      <w:r w:rsidR="00A41532">
        <w:t>10</w:t>
      </w:r>
      <w:r>
        <w:t xml:space="preserve"> weeks for most furniture</w:t>
      </w:r>
    </w:p>
    <w:p w14:paraId="0BCC4968" w14:textId="338F5122" w:rsidR="00A41532" w:rsidRDefault="004B1758" w:rsidP="00A41532">
      <w:pPr>
        <w:pStyle w:val="ListParagraph"/>
        <w:numPr>
          <w:ilvl w:val="0"/>
          <w:numId w:val="4"/>
        </w:numPr>
      </w:pPr>
      <w:r>
        <w:t>Delivery and install:</w:t>
      </w:r>
    </w:p>
    <w:p w14:paraId="5151E992" w14:textId="051A42E6" w:rsidR="004B1758" w:rsidRDefault="004B1758" w:rsidP="004B1758">
      <w:pPr>
        <w:pStyle w:val="ListParagraph"/>
        <w:numPr>
          <w:ilvl w:val="1"/>
          <w:numId w:val="4"/>
        </w:numPr>
      </w:pPr>
      <w:r>
        <w:t xml:space="preserve">2 – 4 weeks for small projects, 4 </w:t>
      </w:r>
      <w:r w:rsidR="004620CF">
        <w:t>–</w:t>
      </w:r>
      <w:r>
        <w:t xml:space="preserve"> </w:t>
      </w:r>
      <w:r w:rsidR="004620CF">
        <w:t>8 weeks for large projects.</w:t>
      </w:r>
    </w:p>
    <w:p w14:paraId="64CFE54A" w14:textId="77777777" w:rsidR="004620CF" w:rsidRDefault="004620CF" w:rsidP="004620CF"/>
    <w:p w14:paraId="0C6B3FC6" w14:textId="7D72ECC5" w:rsidR="004620CF" w:rsidRDefault="00046B1E" w:rsidP="004620CF">
      <w:pPr>
        <w:pStyle w:val="Heading3"/>
      </w:pPr>
      <w:r>
        <w:t>Infrastructure Planning and Facilities (</w:t>
      </w:r>
      <w:r w:rsidR="00625411">
        <w:t>IPF</w:t>
      </w:r>
      <w:r>
        <w:t>)</w:t>
      </w:r>
      <w:r w:rsidR="00625411">
        <w:t xml:space="preserve"> </w:t>
      </w:r>
      <w:r w:rsidR="00EE5DAD">
        <w:t>Work</w:t>
      </w:r>
    </w:p>
    <w:p w14:paraId="78A6382F" w14:textId="65813ABF" w:rsidR="00625411" w:rsidRDefault="00625411" w:rsidP="00625411">
      <w:r>
        <w:t>IPF</w:t>
      </w:r>
      <w:r w:rsidR="000D2BB6">
        <w:t xml:space="preserve"> timelines depend on the scop</w:t>
      </w:r>
      <w:r w:rsidR="009C058F">
        <w:t>e, material availability,</w:t>
      </w:r>
      <w:r w:rsidR="00FC01E7">
        <w:t xml:space="preserve"> staff availability, and </w:t>
      </w:r>
      <w:r w:rsidR="00E222AC">
        <w:t>priority</w:t>
      </w:r>
      <w:r w:rsidR="009C0D25">
        <w:t xml:space="preserve"> of the project.</w:t>
      </w:r>
      <w:r w:rsidR="00ED6123">
        <w:t xml:space="preserve"> </w:t>
      </w:r>
      <w:r w:rsidR="00DF4CA4">
        <w:t>IPF separates all work into low and high priority categories:</w:t>
      </w:r>
    </w:p>
    <w:p w14:paraId="02031AA2" w14:textId="77777777" w:rsidR="00DF4CA4" w:rsidRDefault="00DF4CA4" w:rsidP="00A85FAF"/>
    <w:p w14:paraId="0323C569" w14:textId="636EEE63" w:rsidR="00A85FAF" w:rsidRDefault="00A85FAF" w:rsidP="00A85FAF">
      <w:pPr>
        <w:pStyle w:val="Heading4"/>
      </w:pPr>
      <w:r>
        <w:t>High Priority</w:t>
      </w:r>
    </w:p>
    <w:p w14:paraId="55DE73FA" w14:textId="07449157" w:rsidR="00A85FAF" w:rsidRDefault="00A85FAF" w:rsidP="00A85FAF">
      <w:pPr>
        <w:pStyle w:val="ListParagraph"/>
        <w:numPr>
          <w:ilvl w:val="0"/>
          <w:numId w:val="6"/>
        </w:numPr>
      </w:pPr>
      <w:r>
        <w:t>Life safety</w:t>
      </w:r>
    </w:p>
    <w:p w14:paraId="47F2FDF5" w14:textId="1D908AA3" w:rsidR="00A85FAF" w:rsidRDefault="00A85FAF" w:rsidP="00A85FAF">
      <w:pPr>
        <w:pStyle w:val="ListParagraph"/>
        <w:numPr>
          <w:ilvl w:val="0"/>
          <w:numId w:val="6"/>
        </w:numPr>
      </w:pPr>
      <w:r>
        <w:t>Impact on research and teaching</w:t>
      </w:r>
    </w:p>
    <w:p w14:paraId="21AE29CC" w14:textId="630096C4" w:rsidR="00F3610A" w:rsidRDefault="00F3610A" w:rsidP="00F3610A">
      <w:pPr>
        <w:pStyle w:val="Heading4"/>
      </w:pPr>
      <w:r>
        <w:lastRenderedPageBreak/>
        <w:t>Low Priority</w:t>
      </w:r>
    </w:p>
    <w:p w14:paraId="578C936D" w14:textId="2148E07F" w:rsidR="00F3610A" w:rsidRDefault="00F3610A" w:rsidP="00F3610A">
      <w:pPr>
        <w:pStyle w:val="ListParagraph"/>
        <w:numPr>
          <w:ilvl w:val="0"/>
          <w:numId w:val="7"/>
        </w:numPr>
      </w:pPr>
      <w:r>
        <w:t>Aesthetics</w:t>
      </w:r>
    </w:p>
    <w:p w14:paraId="4012AD83" w14:textId="2E6D8BD8" w:rsidR="00F3610A" w:rsidRDefault="00E50BBF" w:rsidP="00F3610A">
      <w:pPr>
        <w:pStyle w:val="ListParagraph"/>
        <w:numPr>
          <w:ilvl w:val="0"/>
          <w:numId w:val="7"/>
        </w:numPr>
      </w:pPr>
      <w:r>
        <w:t>Projects with planned deadlines</w:t>
      </w:r>
    </w:p>
    <w:p w14:paraId="366386CF" w14:textId="73EB82F4" w:rsidR="00E50BBF" w:rsidRDefault="00E50BBF" w:rsidP="00F3610A">
      <w:pPr>
        <w:pStyle w:val="ListParagraph"/>
        <w:numPr>
          <w:ilvl w:val="0"/>
          <w:numId w:val="7"/>
        </w:numPr>
      </w:pPr>
      <w:r>
        <w:t>Quotes</w:t>
      </w:r>
    </w:p>
    <w:p w14:paraId="6C2FD2F8" w14:textId="77777777" w:rsidR="00920C77" w:rsidRDefault="00920C77" w:rsidP="00920C77"/>
    <w:p w14:paraId="240685C4" w14:textId="691A5AC7" w:rsidR="00920C77" w:rsidRDefault="00920C77" w:rsidP="00920C77">
      <w:r>
        <w:t xml:space="preserve">IPF </w:t>
      </w:r>
      <w:r w:rsidR="00436E2E">
        <w:t>is typically</w:t>
      </w:r>
      <w:r w:rsidR="005D42A7">
        <w:t xml:space="preserve"> </w:t>
      </w:r>
      <w:r w:rsidR="00573BFB">
        <w:t>busier</w:t>
      </w:r>
      <w:r w:rsidR="005D42A7">
        <w:t xml:space="preserve"> during these times:</w:t>
      </w:r>
    </w:p>
    <w:p w14:paraId="3434886C" w14:textId="4C27BDE5" w:rsidR="005D42A7" w:rsidRDefault="00444BBF" w:rsidP="005D42A7">
      <w:pPr>
        <w:pStyle w:val="ListParagraph"/>
        <w:numPr>
          <w:ilvl w:val="0"/>
          <w:numId w:val="8"/>
        </w:numPr>
      </w:pPr>
      <w:r>
        <w:t>Early January through start of Spring Semester</w:t>
      </w:r>
    </w:p>
    <w:p w14:paraId="22882EF9" w14:textId="4029C7B1" w:rsidR="00444BBF" w:rsidRDefault="00A87201" w:rsidP="005D42A7">
      <w:pPr>
        <w:pStyle w:val="ListParagraph"/>
        <w:numPr>
          <w:ilvl w:val="0"/>
          <w:numId w:val="8"/>
        </w:numPr>
      </w:pPr>
      <w:r>
        <w:t>August</w:t>
      </w:r>
      <w:r w:rsidR="00C337A0">
        <w:t xml:space="preserve"> through start of Fall Semester</w:t>
      </w:r>
    </w:p>
    <w:p w14:paraId="043B4007" w14:textId="0F998EF7" w:rsidR="00C337A0" w:rsidRDefault="00C337A0" w:rsidP="008B03E5">
      <w:pPr>
        <w:pStyle w:val="ListParagraph"/>
        <w:numPr>
          <w:ilvl w:val="0"/>
          <w:numId w:val="8"/>
        </w:numPr>
      </w:pPr>
      <w:r>
        <w:t xml:space="preserve">Spring </w:t>
      </w:r>
      <w:r w:rsidR="008B03E5">
        <w:t>&amp; Winter Break</w:t>
      </w:r>
    </w:p>
    <w:p w14:paraId="4CC7D4BE" w14:textId="77777777" w:rsidR="00C337A0" w:rsidRDefault="00C337A0" w:rsidP="00C337A0"/>
    <w:p w14:paraId="71426563" w14:textId="673A609C" w:rsidR="003F75E8" w:rsidRDefault="00C337A0" w:rsidP="00A72BAF">
      <w:r>
        <w:t>IPF does not schedule</w:t>
      </w:r>
      <w:r w:rsidR="0000177E">
        <w:t xml:space="preserve"> projects during University Holidays </w:t>
      </w:r>
      <w:r w:rsidR="002F5032">
        <w:t xml:space="preserve">unless </w:t>
      </w:r>
      <w:r w:rsidR="004B2B7C">
        <w:t>there</w:t>
      </w:r>
      <w:r w:rsidR="002F5032">
        <w:t xml:space="preserve"> is an emergency</w:t>
      </w:r>
      <w:r w:rsidR="004B2B7C">
        <w:t>.</w:t>
      </w:r>
    </w:p>
    <w:p w14:paraId="18472A53" w14:textId="77777777" w:rsidR="005E18AA" w:rsidRDefault="005E18AA" w:rsidP="00A72BAF"/>
    <w:p w14:paraId="22823350" w14:textId="23B0BCA2" w:rsidR="005E18AA" w:rsidRDefault="005E18AA" w:rsidP="005E18AA">
      <w:pPr>
        <w:pStyle w:val="Heading2"/>
      </w:pPr>
      <w:r>
        <w:t xml:space="preserve">Requests </w:t>
      </w:r>
      <w:r w:rsidR="00F8055F">
        <w:t>for</w:t>
      </w:r>
      <w:r>
        <w:t xml:space="preserve"> College Facilities</w:t>
      </w:r>
    </w:p>
    <w:p w14:paraId="6700C7EA" w14:textId="77777777" w:rsidR="005E18AA" w:rsidRDefault="005E18AA" w:rsidP="005E18AA"/>
    <w:p w14:paraId="613FDA82" w14:textId="0C768A8D" w:rsidR="005A3B54" w:rsidRDefault="005E18AA">
      <w:r>
        <w:t xml:space="preserve">New requests for </w:t>
      </w:r>
      <w:r w:rsidR="007F7843">
        <w:t>non-emergency College related facilities projects</w:t>
      </w:r>
      <w:r w:rsidR="00E6672A">
        <w:t>, furniture,</w:t>
      </w:r>
      <w:r w:rsidR="007F7843">
        <w:t xml:space="preserve"> or work should be submitted </w:t>
      </w:r>
      <w:r w:rsidR="0022164E">
        <w:t xml:space="preserve">to </w:t>
      </w:r>
      <w:hyperlink r:id="rId10" w:history="1">
        <w:r w:rsidR="00F5105B" w:rsidRPr="00582CF3">
          <w:rPr>
            <w:rStyle w:val="Hyperlink"/>
          </w:rPr>
          <w:t>cedfacil@msu.edu</w:t>
        </w:r>
      </w:hyperlink>
      <w:r w:rsidR="00F5105B">
        <w:t>.</w:t>
      </w:r>
    </w:p>
    <w:p w14:paraId="38FE8356" w14:textId="77777777" w:rsidR="00A078A6" w:rsidRDefault="00A078A6" w:rsidP="00A72BAF"/>
    <w:p w14:paraId="67573880" w14:textId="2543676B" w:rsidR="00142B87" w:rsidRDefault="00900285" w:rsidP="00142B87">
      <w:pPr>
        <w:pStyle w:val="Heading2"/>
      </w:pPr>
      <w:r>
        <w:t>Facilities Staff Availability</w:t>
      </w:r>
    </w:p>
    <w:p w14:paraId="7C934988" w14:textId="77777777" w:rsidR="002A4675" w:rsidRDefault="002A4675" w:rsidP="002A4675"/>
    <w:p w14:paraId="4FCDCD10" w14:textId="7A22A4AF" w:rsidR="000408A7" w:rsidRPr="000408A7" w:rsidRDefault="00461AC8" w:rsidP="000408A7">
      <w:pPr>
        <w:rPr>
          <w:rFonts w:ascii="Aptos" w:hAnsi="Aptos"/>
        </w:rPr>
      </w:pPr>
      <w:r w:rsidRPr="009B6C16">
        <w:rPr>
          <w:rFonts w:ascii="Aptos" w:hAnsi="Aptos"/>
        </w:rPr>
        <w:t>F</w:t>
      </w:r>
      <w:r w:rsidR="002A4675" w:rsidRPr="009B6C16">
        <w:rPr>
          <w:rFonts w:ascii="Aptos" w:hAnsi="Aptos"/>
        </w:rPr>
        <w:t xml:space="preserve">acilities staff </w:t>
      </w:r>
      <w:r w:rsidR="003C0639" w:rsidRPr="009B6C16">
        <w:rPr>
          <w:rFonts w:ascii="Aptos" w:hAnsi="Aptos"/>
        </w:rPr>
        <w:t xml:space="preserve">are </w:t>
      </w:r>
      <w:r w:rsidR="00BC63B8" w:rsidRPr="009B6C16">
        <w:rPr>
          <w:rFonts w:ascii="Aptos" w:hAnsi="Aptos"/>
        </w:rPr>
        <w:t xml:space="preserve">committed to providing timely and excellent service. </w:t>
      </w:r>
      <w:r w:rsidR="000408A7" w:rsidRPr="000408A7">
        <w:rPr>
          <w:rFonts w:ascii="Aptos" w:eastAsia="Times New Roman" w:hAnsi="Aptos" w:cs="Times New Roman"/>
          <w:color w:val="000000"/>
          <w:kern w:val="0"/>
          <w14:ligatures w14:val="none"/>
        </w:rPr>
        <w:t>However, there may be times when they are unavailable due to appointments, medical leave, meetings, vacations, or other unforeseen events.</w:t>
      </w:r>
    </w:p>
    <w:p w14:paraId="2540BD26" w14:textId="77777777" w:rsidR="000408A7" w:rsidRPr="000408A7" w:rsidRDefault="000408A7" w:rsidP="000408A7">
      <w:pPr>
        <w:rPr>
          <w:rFonts w:ascii="Aptos" w:eastAsia="Times New Roman" w:hAnsi="Aptos" w:cs="Times New Roman"/>
          <w:color w:val="000000"/>
          <w:kern w:val="0"/>
          <w14:ligatures w14:val="none"/>
        </w:rPr>
      </w:pPr>
      <w:r w:rsidRPr="000408A7">
        <w:rPr>
          <w:rFonts w:ascii="Aptos" w:eastAsia="Times New Roman" w:hAnsi="Aptos" w:cs="Times New Roman"/>
          <w:color w:val="000000"/>
          <w:kern w:val="0"/>
          <w14:ligatures w14:val="none"/>
        </w:rPr>
        <w:t> </w:t>
      </w:r>
    </w:p>
    <w:p w14:paraId="3FA52895" w14:textId="7E8B889C" w:rsidR="000408A7" w:rsidRPr="000408A7" w:rsidRDefault="000408A7" w:rsidP="000408A7">
      <w:pPr>
        <w:rPr>
          <w:rFonts w:ascii="Aptos" w:eastAsia="Times New Roman" w:hAnsi="Aptos" w:cs="Times New Roman"/>
          <w:color w:val="000000"/>
          <w:kern w:val="0"/>
          <w14:ligatures w14:val="none"/>
        </w:rPr>
      </w:pPr>
      <w:r w:rsidRPr="000408A7">
        <w:rPr>
          <w:rFonts w:ascii="Aptos" w:eastAsia="Times New Roman" w:hAnsi="Aptos" w:cs="Times New Roman"/>
          <w:color w:val="000000"/>
          <w:kern w:val="0"/>
          <w14:ligatures w14:val="none"/>
        </w:rPr>
        <w:t>To ensure you receive the assistance you need, please make use of the following resources for in-person facilities support services when staff are unavailable</w:t>
      </w:r>
      <w:r w:rsidR="00360D78">
        <w:rPr>
          <w:rFonts w:ascii="Aptos" w:eastAsia="Times New Roman" w:hAnsi="Aptos" w:cs="Times New Roman"/>
          <w:color w:val="000000"/>
          <w:kern w:val="0"/>
          <w14:ligatures w14:val="none"/>
        </w:rPr>
        <w:t xml:space="preserve"> during normal business hours</w:t>
      </w:r>
      <w:r w:rsidRPr="000408A7">
        <w:rPr>
          <w:rFonts w:ascii="Aptos" w:eastAsia="Times New Roman" w:hAnsi="Aptos" w:cs="Times New Roman"/>
          <w:color w:val="000000"/>
          <w:kern w:val="0"/>
          <w14:ligatures w14:val="none"/>
        </w:rPr>
        <w:t>:</w:t>
      </w:r>
    </w:p>
    <w:p w14:paraId="29B1FF3D" w14:textId="71C5B00B" w:rsidR="00825D8B" w:rsidRPr="009B6C16" w:rsidRDefault="00825D8B" w:rsidP="00825D8B">
      <w:pPr>
        <w:pStyle w:val="Heading3"/>
        <w:rPr>
          <w:rFonts w:ascii="Aptos" w:hAnsi="Aptos"/>
          <w:sz w:val="24"/>
          <w:szCs w:val="24"/>
        </w:rPr>
      </w:pPr>
      <w:r w:rsidRPr="009B6C16">
        <w:rPr>
          <w:rFonts w:ascii="Aptos" w:hAnsi="Aptos"/>
          <w:sz w:val="24"/>
          <w:szCs w:val="24"/>
        </w:rPr>
        <w:t>Opening Card Access Doors</w:t>
      </w:r>
    </w:p>
    <w:p w14:paraId="75D66C8C" w14:textId="787B04E9" w:rsidR="00825D8B" w:rsidRPr="009B6C16" w:rsidRDefault="00F034CC" w:rsidP="00CD1600">
      <w:pPr>
        <w:pStyle w:val="ListParagraph"/>
        <w:numPr>
          <w:ilvl w:val="0"/>
          <w:numId w:val="10"/>
        </w:numPr>
        <w:rPr>
          <w:rFonts w:ascii="Aptos" w:hAnsi="Aptos"/>
        </w:rPr>
      </w:pPr>
      <w:r w:rsidRPr="009B6C16">
        <w:rPr>
          <w:rFonts w:ascii="Aptos" w:hAnsi="Aptos"/>
        </w:rPr>
        <w:t>IT Support: Ted Manko</w:t>
      </w:r>
      <w:r w:rsidR="00716CF6" w:rsidRPr="009B6C16">
        <w:rPr>
          <w:rFonts w:ascii="Aptos" w:hAnsi="Aptos"/>
        </w:rPr>
        <w:t>,</w:t>
      </w:r>
      <w:r w:rsidRPr="009B6C16">
        <w:rPr>
          <w:rFonts w:ascii="Aptos" w:hAnsi="Aptos"/>
        </w:rPr>
        <w:t xml:space="preserve"> Steve</w:t>
      </w:r>
      <w:r w:rsidR="000B6F93" w:rsidRPr="009B6C16">
        <w:rPr>
          <w:rFonts w:ascii="Aptos" w:hAnsi="Aptos"/>
        </w:rPr>
        <w:t xml:space="preserve"> Bell (218) </w:t>
      </w:r>
      <w:r w:rsidR="00716CF6" w:rsidRPr="009B6C16">
        <w:rPr>
          <w:rFonts w:ascii="Aptos" w:hAnsi="Aptos"/>
        </w:rPr>
        <w:t xml:space="preserve">or </w:t>
      </w:r>
      <w:r w:rsidR="000B6F93" w:rsidRPr="009B6C16">
        <w:rPr>
          <w:rFonts w:ascii="Aptos" w:hAnsi="Aptos"/>
        </w:rPr>
        <w:t xml:space="preserve">Dave Dai </w:t>
      </w:r>
      <w:r w:rsidR="00CD1600" w:rsidRPr="009B6C16">
        <w:rPr>
          <w:rFonts w:ascii="Aptos" w:hAnsi="Aptos"/>
        </w:rPr>
        <w:t>(240D)</w:t>
      </w:r>
    </w:p>
    <w:p w14:paraId="0241D7D8" w14:textId="1E471CC4" w:rsidR="00CD1600" w:rsidRPr="009B6C16" w:rsidRDefault="00CD1600" w:rsidP="00CD1600">
      <w:pPr>
        <w:pStyle w:val="ListParagraph"/>
        <w:numPr>
          <w:ilvl w:val="0"/>
          <w:numId w:val="10"/>
        </w:numPr>
        <w:rPr>
          <w:rFonts w:ascii="Aptos" w:hAnsi="Aptos"/>
        </w:rPr>
      </w:pPr>
      <w:r w:rsidRPr="009B6C16">
        <w:rPr>
          <w:rFonts w:ascii="Aptos" w:hAnsi="Aptos"/>
        </w:rPr>
        <w:t>Dean’s Office</w:t>
      </w:r>
      <w:r w:rsidR="00716CF6" w:rsidRPr="009B6C16">
        <w:rPr>
          <w:rFonts w:ascii="Aptos" w:hAnsi="Aptos"/>
        </w:rPr>
        <w:t xml:space="preserve">: Miles </w:t>
      </w:r>
      <w:proofErr w:type="spellStart"/>
      <w:r w:rsidR="00716CF6" w:rsidRPr="009B6C16">
        <w:rPr>
          <w:rFonts w:ascii="Aptos" w:hAnsi="Aptos"/>
        </w:rPr>
        <w:t>Nool</w:t>
      </w:r>
      <w:proofErr w:type="spellEnd"/>
      <w:r w:rsidR="00716CF6" w:rsidRPr="009B6C16">
        <w:rPr>
          <w:rFonts w:ascii="Aptos" w:hAnsi="Aptos"/>
        </w:rPr>
        <w:t xml:space="preserve"> or Amanda McNew (501)</w:t>
      </w:r>
    </w:p>
    <w:p w14:paraId="7D5A4DE8" w14:textId="28409EA5" w:rsidR="00716CF6" w:rsidRPr="009B6C16" w:rsidRDefault="00AF26DC" w:rsidP="00CD1600">
      <w:pPr>
        <w:pStyle w:val="ListParagraph"/>
        <w:numPr>
          <w:ilvl w:val="0"/>
          <w:numId w:val="10"/>
        </w:numPr>
        <w:rPr>
          <w:rFonts w:ascii="Aptos" w:hAnsi="Aptos"/>
        </w:rPr>
      </w:pPr>
      <w:r w:rsidRPr="009B6C16">
        <w:rPr>
          <w:rFonts w:ascii="Aptos" w:hAnsi="Aptos"/>
        </w:rPr>
        <w:t>MSU Police (</w:t>
      </w:r>
      <w:r w:rsidR="003C58D5" w:rsidRPr="009B6C16">
        <w:rPr>
          <w:rFonts w:ascii="Aptos" w:hAnsi="Aptos"/>
        </w:rPr>
        <w:t>517-355-2221)</w:t>
      </w:r>
    </w:p>
    <w:p w14:paraId="41EE40A9" w14:textId="430AA378" w:rsidR="003C58D5" w:rsidRPr="009B6C16" w:rsidRDefault="003C58D5" w:rsidP="003C58D5">
      <w:pPr>
        <w:pStyle w:val="Heading3"/>
        <w:rPr>
          <w:rFonts w:ascii="Aptos" w:hAnsi="Aptos"/>
          <w:sz w:val="24"/>
          <w:szCs w:val="24"/>
        </w:rPr>
      </w:pPr>
      <w:r w:rsidRPr="009B6C16">
        <w:rPr>
          <w:rFonts w:ascii="Aptos" w:hAnsi="Aptos"/>
          <w:sz w:val="24"/>
          <w:szCs w:val="24"/>
        </w:rPr>
        <w:t>Opening Key Access Doors</w:t>
      </w:r>
    </w:p>
    <w:p w14:paraId="6C335ACC" w14:textId="5FAC8A2D" w:rsidR="003C58D5" w:rsidRPr="009B6C16" w:rsidRDefault="004E0E2F" w:rsidP="003C58D5">
      <w:pPr>
        <w:pStyle w:val="ListParagraph"/>
        <w:numPr>
          <w:ilvl w:val="0"/>
          <w:numId w:val="10"/>
        </w:numPr>
        <w:rPr>
          <w:rFonts w:ascii="Aptos" w:hAnsi="Aptos"/>
        </w:rPr>
      </w:pPr>
      <w:r w:rsidRPr="009B6C16">
        <w:rPr>
          <w:rFonts w:ascii="Aptos" w:hAnsi="Aptos"/>
        </w:rPr>
        <w:t>TIEs or Copy Center Students (133)</w:t>
      </w:r>
    </w:p>
    <w:p w14:paraId="2EA26010" w14:textId="0519E753" w:rsidR="004E0E2F" w:rsidRPr="009B6C16" w:rsidRDefault="009C1A82" w:rsidP="004E0E2F">
      <w:pPr>
        <w:pStyle w:val="Heading3"/>
        <w:rPr>
          <w:rFonts w:ascii="Aptos" w:hAnsi="Aptos"/>
          <w:sz w:val="24"/>
          <w:szCs w:val="24"/>
        </w:rPr>
      </w:pPr>
      <w:r w:rsidRPr="009B6C16">
        <w:rPr>
          <w:rFonts w:ascii="Aptos" w:hAnsi="Aptos"/>
          <w:sz w:val="24"/>
          <w:szCs w:val="24"/>
        </w:rPr>
        <w:t>Urgent Facilities Issues</w:t>
      </w:r>
    </w:p>
    <w:p w14:paraId="43129BF8" w14:textId="57D7B0C5" w:rsidR="004E0E2F" w:rsidRPr="009B6C16" w:rsidRDefault="000C5D89" w:rsidP="004E0E2F">
      <w:pPr>
        <w:pStyle w:val="ListParagraph"/>
        <w:numPr>
          <w:ilvl w:val="0"/>
          <w:numId w:val="10"/>
        </w:numPr>
        <w:rPr>
          <w:rFonts w:ascii="Aptos" w:hAnsi="Aptos"/>
        </w:rPr>
      </w:pPr>
      <w:r w:rsidRPr="009B6C16">
        <w:rPr>
          <w:rFonts w:ascii="Aptos" w:hAnsi="Aptos"/>
        </w:rPr>
        <w:t>IPF (517-353-1760)</w:t>
      </w:r>
    </w:p>
    <w:p w14:paraId="06155AF0" w14:textId="77777777" w:rsidR="00716EF1" w:rsidRPr="009B6C16" w:rsidRDefault="00716EF1" w:rsidP="00716EF1">
      <w:pPr>
        <w:rPr>
          <w:rFonts w:ascii="Aptos" w:hAnsi="Aptos"/>
        </w:rPr>
      </w:pPr>
    </w:p>
    <w:p w14:paraId="6A295532" w14:textId="7F92B5E1" w:rsidR="00245458" w:rsidRPr="009B6C16" w:rsidRDefault="00EE770F" w:rsidP="00716EF1">
      <w:pPr>
        <w:rPr>
          <w:rFonts w:ascii="Aptos" w:hAnsi="Aptos"/>
        </w:rPr>
      </w:pPr>
      <w:r w:rsidRPr="00EE770F">
        <w:rPr>
          <w:rFonts w:ascii="Aptos" w:hAnsi="Aptos"/>
        </w:rPr>
        <w:t>Staff or students may ask to see and verify your MSU ID if they are not familiar with you, and/or after letting you into a space you (or your ID) have been locked out of.</w:t>
      </w:r>
    </w:p>
    <w:p w14:paraId="3A685752" w14:textId="75A7F93B" w:rsidR="009B6C16" w:rsidRPr="009B6C16" w:rsidRDefault="009B6C16" w:rsidP="00716EF1">
      <w:pPr>
        <w:rPr>
          <w:rFonts w:ascii="Aptos" w:hAnsi="Aptos"/>
        </w:rPr>
      </w:pPr>
      <w:r w:rsidRPr="009B6C16">
        <w:rPr>
          <w:rFonts w:ascii="Aptos" w:hAnsi="Aptos"/>
          <w:color w:val="000000"/>
        </w:rPr>
        <w:t>We appreciate your understanding and remain committed to providing excellent service.</w:t>
      </w:r>
    </w:p>
    <w:p w14:paraId="2810CEB8" w14:textId="50C401FB" w:rsidR="005D2FEE" w:rsidRDefault="00F57088" w:rsidP="00F57088">
      <w:pPr>
        <w:pStyle w:val="Heading2"/>
      </w:pPr>
      <w:r>
        <w:lastRenderedPageBreak/>
        <w:t>Responsibilities</w:t>
      </w:r>
    </w:p>
    <w:p w14:paraId="5BA69821" w14:textId="77777777" w:rsidR="0062154E" w:rsidRDefault="0062154E" w:rsidP="0062154E"/>
    <w:p w14:paraId="19F51577" w14:textId="53ED38B0" w:rsidR="00A70E63" w:rsidRDefault="00050239" w:rsidP="0062154E">
      <w:r>
        <w:t>The table below defines</w:t>
      </w:r>
      <w:r w:rsidR="00F65B3B">
        <w:t xml:space="preserve"> </w:t>
      </w:r>
      <w:r w:rsidR="00F65B3B" w:rsidRPr="00910FF6">
        <w:t xml:space="preserve">the </w:t>
      </w:r>
      <w:r w:rsidR="00074C85" w:rsidRPr="00910FF6">
        <w:t>Facilities</w:t>
      </w:r>
      <w:r w:rsidR="00F65B3B" w:rsidRPr="00910FF6">
        <w:t xml:space="preserve"> Office and</w:t>
      </w:r>
      <w:r w:rsidR="00F65B3B">
        <w:t xml:space="preserve"> Unit responsibilities. This</w:t>
      </w:r>
      <w:r w:rsidR="00C5369B">
        <w:t xml:space="preserve"> table covers the most common </w:t>
      </w:r>
      <w:r w:rsidR="00CC6481">
        <w:t xml:space="preserve">space related </w:t>
      </w:r>
      <w:r w:rsidR="00A70E63">
        <w:t>responsibilities but</w:t>
      </w:r>
      <w:r w:rsidR="00CD2DA1">
        <w:t xml:space="preserve"> </w:t>
      </w:r>
      <w:r w:rsidR="00A70E63">
        <w:t>does not cover all items or scenarios.</w:t>
      </w:r>
    </w:p>
    <w:p w14:paraId="4945C56F" w14:textId="77777777" w:rsidR="00D82AC0" w:rsidRDefault="00D82AC0" w:rsidP="0062154E"/>
    <w:p w14:paraId="06A5C4E0" w14:textId="77777777" w:rsidR="00AE1CCC" w:rsidRPr="0062154E" w:rsidRDefault="00CC6481" w:rsidP="0062154E">
      <w:r>
        <w:t xml:space="preserve"> </w:t>
      </w:r>
    </w:p>
    <w:tbl>
      <w:tblPr>
        <w:tblStyle w:val="TableGrid"/>
        <w:tblW w:w="9085" w:type="dxa"/>
        <w:tblLook w:val="04A0" w:firstRow="1" w:lastRow="0" w:firstColumn="1" w:lastColumn="0" w:noHBand="0" w:noVBand="1"/>
      </w:tblPr>
      <w:tblGrid>
        <w:gridCol w:w="2175"/>
        <w:gridCol w:w="1146"/>
        <w:gridCol w:w="2991"/>
        <w:gridCol w:w="2773"/>
      </w:tblGrid>
      <w:tr w:rsidR="00BB790C" w14:paraId="090629C7" w14:textId="771CD70D" w:rsidTr="00176E21">
        <w:trPr>
          <w:trHeight w:val="20"/>
        </w:trPr>
        <w:tc>
          <w:tcPr>
            <w:tcW w:w="2175" w:type="dxa"/>
            <w:tcBorders>
              <w:bottom w:val="single" w:sz="4" w:space="0" w:color="auto"/>
            </w:tcBorders>
            <w:shd w:val="clear" w:color="auto" w:fill="E8E8E8" w:themeFill="background2"/>
          </w:tcPr>
          <w:p w14:paraId="01709D64" w14:textId="6D8EF382" w:rsidR="00BB790C" w:rsidRDefault="00BB790C" w:rsidP="0020129C">
            <w:pPr>
              <w:pStyle w:val="Heading3"/>
            </w:pPr>
            <w:r>
              <w:t>Topic</w:t>
            </w:r>
          </w:p>
        </w:tc>
        <w:tc>
          <w:tcPr>
            <w:tcW w:w="1146" w:type="dxa"/>
            <w:tcBorders>
              <w:bottom w:val="single" w:sz="4" w:space="0" w:color="auto"/>
            </w:tcBorders>
            <w:shd w:val="clear" w:color="auto" w:fill="E8E8E8" w:themeFill="background2"/>
          </w:tcPr>
          <w:p w14:paraId="65DB0AA4" w14:textId="33F3784B" w:rsidR="00BB790C" w:rsidRDefault="009E42E6" w:rsidP="0020129C">
            <w:pPr>
              <w:pStyle w:val="Heading3"/>
            </w:pPr>
            <w:r>
              <w:t>Resp.</w:t>
            </w:r>
          </w:p>
        </w:tc>
        <w:tc>
          <w:tcPr>
            <w:tcW w:w="2991" w:type="dxa"/>
            <w:tcBorders>
              <w:bottom w:val="single" w:sz="4" w:space="0" w:color="auto"/>
            </w:tcBorders>
            <w:shd w:val="clear" w:color="auto" w:fill="E8E8E8" w:themeFill="background2"/>
          </w:tcPr>
          <w:p w14:paraId="7AD2EE20" w14:textId="3C76B47B" w:rsidR="00BB790C" w:rsidRDefault="00BB790C" w:rsidP="0020129C">
            <w:pPr>
              <w:pStyle w:val="Heading3"/>
            </w:pPr>
            <w:r>
              <w:t>Exceptions</w:t>
            </w:r>
          </w:p>
        </w:tc>
        <w:tc>
          <w:tcPr>
            <w:tcW w:w="2773" w:type="dxa"/>
            <w:tcBorders>
              <w:bottom w:val="single" w:sz="4" w:space="0" w:color="auto"/>
            </w:tcBorders>
            <w:shd w:val="clear" w:color="auto" w:fill="E8E8E8" w:themeFill="background2"/>
          </w:tcPr>
          <w:p w14:paraId="28731485" w14:textId="49FF3225" w:rsidR="00BB790C" w:rsidRDefault="00BB790C" w:rsidP="0020129C">
            <w:pPr>
              <w:pStyle w:val="Heading3"/>
            </w:pPr>
            <w:r>
              <w:t>Notes</w:t>
            </w:r>
          </w:p>
        </w:tc>
      </w:tr>
      <w:tr w:rsidR="00D82AC0" w14:paraId="4B9C807C" w14:textId="77777777" w:rsidTr="00176E21">
        <w:trPr>
          <w:trHeight w:val="20"/>
        </w:trPr>
        <w:tc>
          <w:tcPr>
            <w:tcW w:w="9085" w:type="dxa"/>
            <w:gridSpan w:val="4"/>
            <w:tcBorders>
              <w:bottom w:val="single" w:sz="4" w:space="0" w:color="auto"/>
            </w:tcBorders>
            <w:shd w:val="clear" w:color="auto" w:fill="B3E5A1" w:themeFill="accent6" w:themeFillTint="66"/>
          </w:tcPr>
          <w:p w14:paraId="5782AFBB" w14:textId="76D855A2" w:rsidR="00D82AC0" w:rsidRDefault="00D82AC0" w:rsidP="0062154E">
            <w:r>
              <w:t>Keys</w:t>
            </w:r>
          </w:p>
        </w:tc>
      </w:tr>
      <w:tr w:rsidR="00BB790C" w14:paraId="37BE4B54" w14:textId="2A26A4F7" w:rsidTr="00176E21">
        <w:trPr>
          <w:trHeight w:val="20"/>
        </w:trPr>
        <w:tc>
          <w:tcPr>
            <w:tcW w:w="2175" w:type="dxa"/>
            <w:tcBorders>
              <w:bottom w:val="single" w:sz="4" w:space="0" w:color="auto"/>
            </w:tcBorders>
          </w:tcPr>
          <w:p w14:paraId="4C7D7D33" w14:textId="1009D87F" w:rsidR="00BB790C" w:rsidRDefault="00BB790C" w:rsidP="0062154E">
            <w:r>
              <w:t>New and additional keys</w:t>
            </w:r>
          </w:p>
        </w:tc>
        <w:tc>
          <w:tcPr>
            <w:tcW w:w="1146" w:type="dxa"/>
            <w:tcBorders>
              <w:bottom w:val="single" w:sz="4" w:space="0" w:color="auto"/>
            </w:tcBorders>
          </w:tcPr>
          <w:p w14:paraId="3853A663" w14:textId="10046105" w:rsidR="00BB790C" w:rsidRDefault="00F31844" w:rsidP="0062154E">
            <w:r>
              <w:t>Facilities</w:t>
            </w:r>
          </w:p>
        </w:tc>
        <w:tc>
          <w:tcPr>
            <w:tcW w:w="2991" w:type="dxa"/>
            <w:tcBorders>
              <w:bottom w:val="single" w:sz="4" w:space="0" w:color="auto"/>
            </w:tcBorders>
          </w:tcPr>
          <w:p w14:paraId="0CA6A480" w14:textId="45EEE839" w:rsidR="00BB790C" w:rsidRDefault="00BB790C" w:rsidP="0062154E">
            <w:r>
              <w:t>If keys are lost or unit employees do not return keys necessitating additional keys.</w:t>
            </w:r>
          </w:p>
          <w:p w14:paraId="032EC876" w14:textId="77777777" w:rsidR="00BB790C" w:rsidRDefault="00BB790C" w:rsidP="0062154E"/>
          <w:p w14:paraId="75C593A6" w14:textId="42DE90D8" w:rsidR="00BB790C" w:rsidRDefault="00BB790C" w:rsidP="0062154E">
            <w:r>
              <w:t xml:space="preserve">If submaster or Master keys are lost, or stolen unit or department covers rekey costs for impacted offices. </w:t>
            </w:r>
          </w:p>
        </w:tc>
        <w:tc>
          <w:tcPr>
            <w:tcW w:w="2773" w:type="dxa"/>
            <w:tcBorders>
              <w:bottom w:val="single" w:sz="4" w:space="0" w:color="auto"/>
            </w:tcBorders>
          </w:tcPr>
          <w:p w14:paraId="279360F0" w14:textId="77777777" w:rsidR="00BB790C" w:rsidRDefault="00BB790C" w:rsidP="0062154E"/>
        </w:tc>
      </w:tr>
      <w:tr w:rsidR="00C54408" w14:paraId="3ECBC69F" w14:textId="77777777" w:rsidTr="00176E21">
        <w:trPr>
          <w:trHeight w:val="20"/>
        </w:trPr>
        <w:tc>
          <w:tcPr>
            <w:tcW w:w="9085" w:type="dxa"/>
            <w:gridSpan w:val="4"/>
            <w:shd w:val="clear" w:color="auto" w:fill="B3E5A1" w:themeFill="accent6" w:themeFillTint="66"/>
          </w:tcPr>
          <w:p w14:paraId="58EE0893" w14:textId="619C188A" w:rsidR="00C54408" w:rsidRPr="00C54408" w:rsidRDefault="00C54408" w:rsidP="006602C5">
            <w:pPr>
              <w:pStyle w:val="Heading4"/>
            </w:pPr>
            <w:r w:rsidRPr="00C54408">
              <w:t>New Tenure System Faculty Hires</w:t>
            </w:r>
          </w:p>
        </w:tc>
      </w:tr>
      <w:tr w:rsidR="00BB790C" w14:paraId="64BCE5B9" w14:textId="63F0F670" w:rsidTr="00176E21">
        <w:trPr>
          <w:trHeight w:val="20"/>
        </w:trPr>
        <w:tc>
          <w:tcPr>
            <w:tcW w:w="2175" w:type="dxa"/>
          </w:tcPr>
          <w:p w14:paraId="1A5CB14E" w14:textId="1B1B8C2F" w:rsidR="00BB790C" w:rsidRDefault="00BB790C" w:rsidP="0062154E">
            <w:r>
              <w:t>Carpet cleaning</w:t>
            </w:r>
          </w:p>
        </w:tc>
        <w:tc>
          <w:tcPr>
            <w:tcW w:w="1146" w:type="dxa"/>
          </w:tcPr>
          <w:p w14:paraId="35510D29" w14:textId="69FB022B" w:rsidR="00BB790C" w:rsidRDefault="00F31844" w:rsidP="0062154E">
            <w:r>
              <w:t>Facilities</w:t>
            </w:r>
          </w:p>
        </w:tc>
        <w:tc>
          <w:tcPr>
            <w:tcW w:w="2991" w:type="dxa"/>
          </w:tcPr>
          <w:p w14:paraId="451C2B7B" w14:textId="3F2E35CD" w:rsidR="00BB790C" w:rsidRDefault="00BB790C" w:rsidP="0062154E"/>
        </w:tc>
        <w:tc>
          <w:tcPr>
            <w:tcW w:w="2773" w:type="dxa"/>
          </w:tcPr>
          <w:p w14:paraId="2E2B00FA" w14:textId="77777777" w:rsidR="00BB790C" w:rsidRDefault="00BB790C" w:rsidP="0062154E"/>
        </w:tc>
      </w:tr>
      <w:tr w:rsidR="00BB790C" w14:paraId="174DC0F7" w14:textId="77777777" w:rsidTr="00176E21">
        <w:trPr>
          <w:trHeight w:val="20"/>
        </w:trPr>
        <w:tc>
          <w:tcPr>
            <w:tcW w:w="2175" w:type="dxa"/>
          </w:tcPr>
          <w:p w14:paraId="6EAB7C47" w14:textId="4C13A578" w:rsidR="00BB790C" w:rsidRDefault="00BB790C" w:rsidP="00C54408">
            <w:r>
              <w:t>Paint (if needed)</w:t>
            </w:r>
          </w:p>
        </w:tc>
        <w:tc>
          <w:tcPr>
            <w:tcW w:w="1146" w:type="dxa"/>
          </w:tcPr>
          <w:p w14:paraId="43CB9253" w14:textId="13D1D335" w:rsidR="00BB790C" w:rsidRDefault="00F31844" w:rsidP="00C54408">
            <w:r>
              <w:t>Facilities</w:t>
            </w:r>
          </w:p>
        </w:tc>
        <w:tc>
          <w:tcPr>
            <w:tcW w:w="2991" w:type="dxa"/>
          </w:tcPr>
          <w:p w14:paraId="27091242" w14:textId="151B5141" w:rsidR="00BB790C" w:rsidRDefault="00BB790C" w:rsidP="00C54408">
            <w:r>
              <w:t>Unit requests painting despite facilities manager deeming it not necessary.</w:t>
            </w:r>
          </w:p>
        </w:tc>
        <w:tc>
          <w:tcPr>
            <w:tcW w:w="2773" w:type="dxa"/>
          </w:tcPr>
          <w:p w14:paraId="220E3D2E" w14:textId="77777777" w:rsidR="00BB790C" w:rsidRDefault="00BB790C" w:rsidP="00C54408"/>
        </w:tc>
      </w:tr>
      <w:tr w:rsidR="00BB790C" w14:paraId="4114A297" w14:textId="77777777" w:rsidTr="00176E21">
        <w:trPr>
          <w:trHeight w:val="20"/>
        </w:trPr>
        <w:tc>
          <w:tcPr>
            <w:tcW w:w="2175" w:type="dxa"/>
            <w:tcBorders>
              <w:bottom w:val="single" w:sz="4" w:space="0" w:color="auto"/>
            </w:tcBorders>
          </w:tcPr>
          <w:p w14:paraId="6D238D7B" w14:textId="079EFCC5" w:rsidR="00BB790C" w:rsidRDefault="00BB790C" w:rsidP="00C54408">
            <w:r>
              <w:t>New furniture (if needed)</w:t>
            </w:r>
          </w:p>
        </w:tc>
        <w:tc>
          <w:tcPr>
            <w:tcW w:w="1146" w:type="dxa"/>
            <w:tcBorders>
              <w:bottom w:val="single" w:sz="4" w:space="0" w:color="auto"/>
            </w:tcBorders>
          </w:tcPr>
          <w:p w14:paraId="07F7A44B" w14:textId="60A17558" w:rsidR="00BB790C" w:rsidRDefault="00F31844" w:rsidP="00C54408">
            <w:r>
              <w:t>Facilities</w:t>
            </w:r>
          </w:p>
        </w:tc>
        <w:tc>
          <w:tcPr>
            <w:tcW w:w="2991" w:type="dxa"/>
            <w:tcBorders>
              <w:bottom w:val="single" w:sz="4" w:space="0" w:color="auto"/>
            </w:tcBorders>
          </w:tcPr>
          <w:p w14:paraId="7265FA38" w14:textId="49A17875" w:rsidR="00BB790C" w:rsidRDefault="00BB790C" w:rsidP="00C54408">
            <w:r>
              <w:t>Unit requests furniture despite facilities manager deeming it not necessary.</w:t>
            </w:r>
          </w:p>
        </w:tc>
        <w:tc>
          <w:tcPr>
            <w:tcW w:w="2773" w:type="dxa"/>
            <w:tcBorders>
              <w:bottom w:val="single" w:sz="4" w:space="0" w:color="auto"/>
            </w:tcBorders>
          </w:tcPr>
          <w:p w14:paraId="4D3D3B31" w14:textId="77777777" w:rsidR="00BB790C" w:rsidRDefault="00BB790C" w:rsidP="00C54408"/>
        </w:tc>
      </w:tr>
      <w:tr w:rsidR="00C54408" w14:paraId="067CC6CB" w14:textId="77777777" w:rsidTr="00176E21">
        <w:trPr>
          <w:trHeight w:val="20"/>
        </w:trPr>
        <w:tc>
          <w:tcPr>
            <w:tcW w:w="9085" w:type="dxa"/>
            <w:gridSpan w:val="4"/>
            <w:shd w:val="clear" w:color="auto" w:fill="B3E5A1" w:themeFill="accent6" w:themeFillTint="66"/>
          </w:tcPr>
          <w:p w14:paraId="77FED6A1" w14:textId="30393ADE" w:rsidR="00C54408" w:rsidRPr="00C54408" w:rsidRDefault="00C54408" w:rsidP="006602C5">
            <w:pPr>
              <w:pStyle w:val="Heading4"/>
            </w:pPr>
            <w:r w:rsidRPr="00C54408">
              <w:t>Classrooms</w:t>
            </w:r>
          </w:p>
        </w:tc>
      </w:tr>
      <w:tr w:rsidR="00BB790C" w14:paraId="04600C3F" w14:textId="2C7C9774" w:rsidTr="00176E21">
        <w:trPr>
          <w:trHeight w:val="20"/>
        </w:trPr>
        <w:tc>
          <w:tcPr>
            <w:tcW w:w="2175" w:type="dxa"/>
          </w:tcPr>
          <w:p w14:paraId="3DC5D475" w14:textId="2A0ED51E" w:rsidR="00BB790C" w:rsidRDefault="00BB790C" w:rsidP="00C54408">
            <w:r>
              <w:t>Basic Classroom technology</w:t>
            </w:r>
          </w:p>
        </w:tc>
        <w:tc>
          <w:tcPr>
            <w:tcW w:w="1146" w:type="dxa"/>
          </w:tcPr>
          <w:p w14:paraId="1440C431" w14:textId="339167E4" w:rsidR="00BB790C" w:rsidRDefault="00F31844" w:rsidP="00C54408">
            <w:r>
              <w:t>Facilities</w:t>
            </w:r>
          </w:p>
        </w:tc>
        <w:tc>
          <w:tcPr>
            <w:tcW w:w="2991" w:type="dxa"/>
          </w:tcPr>
          <w:p w14:paraId="2F08EC5A" w14:textId="29A70CAE" w:rsidR="00BB790C" w:rsidRDefault="00BB790C" w:rsidP="00C54408"/>
        </w:tc>
        <w:tc>
          <w:tcPr>
            <w:tcW w:w="2773" w:type="dxa"/>
          </w:tcPr>
          <w:p w14:paraId="42CB1A20" w14:textId="496F2EC6" w:rsidR="00BB790C" w:rsidRDefault="00BB790C" w:rsidP="00C54408">
            <w:r>
              <w:t xml:space="preserve">For </w:t>
            </w:r>
            <w:r w:rsidR="006F7BA3">
              <w:t>c</w:t>
            </w:r>
            <w:r>
              <w:t>ollege owned classrooms</w:t>
            </w:r>
          </w:p>
        </w:tc>
      </w:tr>
      <w:tr w:rsidR="00E138AF" w14:paraId="1B14C46C" w14:textId="0D7EEF06" w:rsidTr="00176E21">
        <w:trPr>
          <w:trHeight w:val="20"/>
        </w:trPr>
        <w:tc>
          <w:tcPr>
            <w:tcW w:w="2175" w:type="dxa"/>
          </w:tcPr>
          <w:p w14:paraId="73C26E4D" w14:textId="42B89821" w:rsidR="00E138AF" w:rsidRDefault="00E138AF" w:rsidP="00E138AF">
            <w:r>
              <w:t>Specialized classroom technology</w:t>
            </w:r>
          </w:p>
        </w:tc>
        <w:tc>
          <w:tcPr>
            <w:tcW w:w="1146" w:type="dxa"/>
            <w:shd w:val="clear" w:color="auto" w:fill="auto"/>
          </w:tcPr>
          <w:p w14:paraId="0D1990D9" w14:textId="473A7E1F" w:rsidR="00E138AF" w:rsidRDefault="00E138AF" w:rsidP="00E138AF">
            <w:r w:rsidRPr="00D833E3">
              <w:t>Unit</w:t>
            </w:r>
          </w:p>
        </w:tc>
        <w:tc>
          <w:tcPr>
            <w:tcW w:w="2991" w:type="dxa"/>
          </w:tcPr>
          <w:p w14:paraId="18694F52" w14:textId="29FB52DF" w:rsidR="00E138AF" w:rsidRDefault="00E138AF" w:rsidP="00E138AF"/>
        </w:tc>
        <w:tc>
          <w:tcPr>
            <w:tcW w:w="2773" w:type="dxa"/>
          </w:tcPr>
          <w:p w14:paraId="59A4641D" w14:textId="67C02A2B" w:rsidR="00E138AF" w:rsidRDefault="00E138AF" w:rsidP="00E138AF"/>
        </w:tc>
      </w:tr>
      <w:tr w:rsidR="00E138AF" w14:paraId="10A5E07A" w14:textId="01C2E3C5" w:rsidTr="00176E21">
        <w:trPr>
          <w:trHeight w:val="20"/>
        </w:trPr>
        <w:tc>
          <w:tcPr>
            <w:tcW w:w="2175" w:type="dxa"/>
          </w:tcPr>
          <w:p w14:paraId="06C02F97" w14:textId="2018430F" w:rsidR="00E138AF" w:rsidRDefault="00E138AF" w:rsidP="00E138AF">
            <w:r>
              <w:t>Classroom furniture</w:t>
            </w:r>
          </w:p>
        </w:tc>
        <w:tc>
          <w:tcPr>
            <w:tcW w:w="1146" w:type="dxa"/>
          </w:tcPr>
          <w:p w14:paraId="4F259512" w14:textId="573D2FAE" w:rsidR="00E138AF" w:rsidRDefault="00E138AF" w:rsidP="00E138AF">
            <w:r>
              <w:t>Facilities</w:t>
            </w:r>
          </w:p>
        </w:tc>
        <w:tc>
          <w:tcPr>
            <w:tcW w:w="2991" w:type="dxa"/>
          </w:tcPr>
          <w:p w14:paraId="76861378" w14:textId="77777777" w:rsidR="00E138AF" w:rsidRDefault="00E138AF" w:rsidP="00E138AF"/>
        </w:tc>
        <w:tc>
          <w:tcPr>
            <w:tcW w:w="2773" w:type="dxa"/>
          </w:tcPr>
          <w:p w14:paraId="2CA8B3CA" w14:textId="58C9C42B" w:rsidR="00E138AF" w:rsidRDefault="00E138AF" w:rsidP="00E138AF">
            <w:r>
              <w:t>For college owned classrooms</w:t>
            </w:r>
          </w:p>
        </w:tc>
      </w:tr>
      <w:tr w:rsidR="00E138AF" w14:paraId="080876CF" w14:textId="446C6640" w:rsidTr="00176E21">
        <w:trPr>
          <w:trHeight w:val="20"/>
        </w:trPr>
        <w:tc>
          <w:tcPr>
            <w:tcW w:w="2175" w:type="dxa"/>
            <w:tcBorders>
              <w:bottom w:val="single" w:sz="4" w:space="0" w:color="auto"/>
            </w:tcBorders>
          </w:tcPr>
          <w:p w14:paraId="46A161CA" w14:textId="0AF5CA06" w:rsidR="00E138AF" w:rsidRDefault="00E138AF" w:rsidP="00E138AF">
            <w:r>
              <w:t>Specialized classroom furniture</w:t>
            </w:r>
          </w:p>
        </w:tc>
        <w:tc>
          <w:tcPr>
            <w:tcW w:w="1146" w:type="dxa"/>
            <w:tcBorders>
              <w:bottom w:val="single" w:sz="4" w:space="0" w:color="auto"/>
            </w:tcBorders>
          </w:tcPr>
          <w:p w14:paraId="4F5371D0" w14:textId="6D451E65" w:rsidR="00E138AF" w:rsidRDefault="00E138AF" w:rsidP="00E138AF">
            <w:r w:rsidRPr="00D833E3">
              <w:t>Unit</w:t>
            </w:r>
          </w:p>
        </w:tc>
        <w:tc>
          <w:tcPr>
            <w:tcW w:w="2991" w:type="dxa"/>
            <w:tcBorders>
              <w:bottom w:val="single" w:sz="4" w:space="0" w:color="auto"/>
            </w:tcBorders>
          </w:tcPr>
          <w:p w14:paraId="5A80534C" w14:textId="77777777" w:rsidR="00E138AF" w:rsidRDefault="00E138AF" w:rsidP="00E138AF"/>
        </w:tc>
        <w:tc>
          <w:tcPr>
            <w:tcW w:w="2773" w:type="dxa"/>
            <w:tcBorders>
              <w:bottom w:val="single" w:sz="4" w:space="0" w:color="auto"/>
            </w:tcBorders>
          </w:tcPr>
          <w:p w14:paraId="0D9B8191" w14:textId="77777777" w:rsidR="00E138AF" w:rsidRDefault="00E138AF" w:rsidP="00E138AF"/>
        </w:tc>
      </w:tr>
      <w:tr w:rsidR="005A3B54" w14:paraId="5B062979" w14:textId="77777777" w:rsidTr="005A3B54">
        <w:trPr>
          <w:trHeight w:val="20"/>
        </w:trPr>
        <w:tc>
          <w:tcPr>
            <w:tcW w:w="2175" w:type="dxa"/>
            <w:tcBorders>
              <w:bottom w:val="single" w:sz="4" w:space="0" w:color="auto"/>
            </w:tcBorders>
            <w:shd w:val="clear" w:color="auto" w:fill="E8E8E8" w:themeFill="background2"/>
          </w:tcPr>
          <w:p w14:paraId="31E4AC42" w14:textId="36016CFC" w:rsidR="005A3B54" w:rsidRDefault="005A3B54" w:rsidP="005A3B54">
            <w:pPr>
              <w:pStyle w:val="Heading3"/>
            </w:pPr>
            <w:r>
              <w:lastRenderedPageBreak/>
              <w:t>Topic</w:t>
            </w:r>
          </w:p>
        </w:tc>
        <w:tc>
          <w:tcPr>
            <w:tcW w:w="1146" w:type="dxa"/>
            <w:tcBorders>
              <w:bottom w:val="single" w:sz="4" w:space="0" w:color="auto"/>
            </w:tcBorders>
            <w:shd w:val="clear" w:color="auto" w:fill="E8E8E8" w:themeFill="background2"/>
          </w:tcPr>
          <w:p w14:paraId="2CB123F0" w14:textId="6FBEBEA2" w:rsidR="005A3B54" w:rsidRPr="00D833E3" w:rsidRDefault="005A3B54" w:rsidP="005A3B54">
            <w:pPr>
              <w:pStyle w:val="Heading3"/>
            </w:pPr>
            <w:r>
              <w:t>Resp.</w:t>
            </w:r>
          </w:p>
        </w:tc>
        <w:tc>
          <w:tcPr>
            <w:tcW w:w="2991" w:type="dxa"/>
            <w:tcBorders>
              <w:bottom w:val="single" w:sz="4" w:space="0" w:color="auto"/>
            </w:tcBorders>
            <w:shd w:val="clear" w:color="auto" w:fill="E8E8E8" w:themeFill="background2"/>
          </w:tcPr>
          <w:p w14:paraId="22BC7E5D" w14:textId="03A44ACF" w:rsidR="005A3B54" w:rsidRDefault="005A3B54" w:rsidP="005A3B54">
            <w:pPr>
              <w:pStyle w:val="Heading3"/>
            </w:pPr>
            <w:r>
              <w:t>Exceptions</w:t>
            </w:r>
          </w:p>
        </w:tc>
        <w:tc>
          <w:tcPr>
            <w:tcW w:w="2773" w:type="dxa"/>
            <w:tcBorders>
              <w:bottom w:val="single" w:sz="4" w:space="0" w:color="auto"/>
            </w:tcBorders>
            <w:shd w:val="clear" w:color="auto" w:fill="E8E8E8" w:themeFill="background2"/>
          </w:tcPr>
          <w:p w14:paraId="344876E6" w14:textId="50D6A7B6" w:rsidR="005A3B54" w:rsidRDefault="005A3B54" w:rsidP="005A3B54">
            <w:pPr>
              <w:pStyle w:val="Heading3"/>
            </w:pPr>
            <w:r>
              <w:t>Notes</w:t>
            </w:r>
          </w:p>
        </w:tc>
      </w:tr>
      <w:tr w:rsidR="005A3B54" w14:paraId="7F4C45BD" w14:textId="77777777" w:rsidTr="00176E21">
        <w:trPr>
          <w:trHeight w:val="20"/>
        </w:trPr>
        <w:tc>
          <w:tcPr>
            <w:tcW w:w="9085" w:type="dxa"/>
            <w:gridSpan w:val="4"/>
            <w:shd w:val="clear" w:color="auto" w:fill="B3E5A1" w:themeFill="accent6" w:themeFillTint="66"/>
          </w:tcPr>
          <w:p w14:paraId="0AE14622" w14:textId="77054B6C" w:rsidR="005A3B54" w:rsidRDefault="005A3B54" w:rsidP="005A3B54">
            <w:pPr>
              <w:pStyle w:val="Heading4"/>
            </w:pPr>
            <w:r>
              <w:t>Conference Rooms</w:t>
            </w:r>
          </w:p>
        </w:tc>
      </w:tr>
      <w:tr w:rsidR="005A3B54" w14:paraId="490DB8EA" w14:textId="77777777" w:rsidTr="00176E21">
        <w:trPr>
          <w:trHeight w:val="20"/>
        </w:trPr>
        <w:tc>
          <w:tcPr>
            <w:tcW w:w="2175" w:type="dxa"/>
          </w:tcPr>
          <w:p w14:paraId="7CE91DDF" w14:textId="69A7BEEA" w:rsidR="005A3B54" w:rsidRDefault="005A3B54" w:rsidP="005A3B54">
            <w:r>
              <w:t>Technology</w:t>
            </w:r>
          </w:p>
        </w:tc>
        <w:tc>
          <w:tcPr>
            <w:tcW w:w="1146" w:type="dxa"/>
          </w:tcPr>
          <w:p w14:paraId="162C017B" w14:textId="4E2C0350" w:rsidR="005A3B54" w:rsidRDefault="005A3B54" w:rsidP="005A3B54">
            <w:r>
              <w:t>Facilities</w:t>
            </w:r>
          </w:p>
        </w:tc>
        <w:tc>
          <w:tcPr>
            <w:tcW w:w="2991" w:type="dxa"/>
          </w:tcPr>
          <w:p w14:paraId="385C1DB5" w14:textId="77777777" w:rsidR="005A3B54" w:rsidRDefault="005A3B54" w:rsidP="005A3B54"/>
        </w:tc>
        <w:tc>
          <w:tcPr>
            <w:tcW w:w="2773" w:type="dxa"/>
          </w:tcPr>
          <w:p w14:paraId="40EC6C90" w14:textId="77777777" w:rsidR="005A3B54" w:rsidRDefault="005A3B54" w:rsidP="005A3B54"/>
        </w:tc>
      </w:tr>
      <w:tr w:rsidR="005A3B54" w14:paraId="764FCBCB" w14:textId="77777777" w:rsidTr="00176E21">
        <w:trPr>
          <w:trHeight w:val="20"/>
        </w:trPr>
        <w:tc>
          <w:tcPr>
            <w:tcW w:w="2175" w:type="dxa"/>
          </w:tcPr>
          <w:p w14:paraId="0CF48A3C" w14:textId="392A05DA" w:rsidR="005A3B54" w:rsidRDefault="005A3B54" w:rsidP="005A3B54">
            <w:r>
              <w:t>Furniture</w:t>
            </w:r>
          </w:p>
        </w:tc>
        <w:tc>
          <w:tcPr>
            <w:tcW w:w="1146" w:type="dxa"/>
          </w:tcPr>
          <w:p w14:paraId="1C67C9E9" w14:textId="73B95063" w:rsidR="005A3B54" w:rsidRDefault="005A3B54" w:rsidP="005A3B54">
            <w:r>
              <w:t>Facilities</w:t>
            </w:r>
          </w:p>
        </w:tc>
        <w:tc>
          <w:tcPr>
            <w:tcW w:w="2991" w:type="dxa"/>
          </w:tcPr>
          <w:p w14:paraId="712C6880" w14:textId="77777777" w:rsidR="005A3B54" w:rsidRDefault="005A3B54" w:rsidP="005A3B54"/>
        </w:tc>
        <w:tc>
          <w:tcPr>
            <w:tcW w:w="2773" w:type="dxa"/>
          </w:tcPr>
          <w:p w14:paraId="4FB1E29F" w14:textId="77777777" w:rsidR="005A3B54" w:rsidRDefault="005A3B54" w:rsidP="005A3B54"/>
        </w:tc>
      </w:tr>
      <w:tr w:rsidR="005A3B54" w14:paraId="04EDC406" w14:textId="77777777" w:rsidTr="00176E21">
        <w:trPr>
          <w:trHeight w:val="20"/>
        </w:trPr>
        <w:tc>
          <w:tcPr>
            <w:tcW w:w="2175" w:type="dxa"/>
          </w:tcPr>
          <w:p w14:paraId="50955C0C" w14:textId="16E40051" w:rsidR="005A3B54" w:rsidRDefault="005A3B54" w:rsidP="005A3B54">
            <w:r>
              <w:t>Remodeling</w:t>
            </w:r>
          </w:p>
        </w:tc>
        <w:tc>
          <w:tcPr>
            <w:tcW w:w="1146" w:type="dxa"/>
          </w:tcPr>
          <w:p w14:paraId="0CF9193F" w14:textId="73A57D32" w:rsidR="005A3B54" w:rsidRDefault="005A3B54" w:rsidP="005A3B54">
            <w:r>
              <w:t>Facilities</w:t>
            </w:r>
          </w:p>
        </w:tc>
        <w:tc>
          <w:tcPr>
            <w:tcW w:w="2991" w:type="dxa"/>
          </w:tcPr>
          <w:p w14:paraId="78BB5FA3" w14:textId="77777777" w:rsidR="005A3B54" w:rsidRDefault="005A3B54" w:rsidP="005A3B54"/>
        </w:tc>
        <w:tc>
          <w:tcPr>
            <w:tcW w:w="2773" w:type="dxa"/>
          </w:tcPr>
          <w:p w14:paraId="4750E1A8" w14:textId="77777777" w:rsidR="005A3B54" w:rsidRDefault="005A3B54" w:rsidP="005A3B54"/>
        </w:tc>
      </w:tr>
      <w:tr w:rsidR="005A3B54" w14:paraId="7766B2FC" w14:textId="564C05BD" w:rsidTr="00176E21">
        <w:trPr>
          <w:trHeight w:val="20"/>
        </w:trPr>
        <w:tc>
          <w:tcPr>
            <w:tcW w:w="9085" w:type="dxa"/>
            <w:gridSpan w:val="4"/>
            <w:shd w:val="clear" w:color="auto" w:fill="B3E5A1" w:themeFill="accent6" w:themeFillTint="66"/>
          </w:tcPr>
          <w:p w14:paraId="3D8514A7" w14:textId="4A5DA60E" w:rsidR="005A3B54" w:rsidRPr="006602C5" w:rsidRDefault="005A3B54" w:rsidP="005A3B54">
            <w:pPr>
              <w:pStyle w:val="Heading4"/>
            </w:pPr>
            <w:r w:rsidRPr="006602C5">
              <w:t>Office moves</w:t>
            </w:r>
          </w:p>
        </w:tc>
      </w:tr>
      <w:tr w:rsidR="005A3B54" w14:paraId="29C95916" w14:textId="77777777" w:rsidTr="00176E21">
        <w:trPr>
          <w:trHeight w:val="20"/>
        </w:trPr>
        <w:tc>
          <w:tcPr>
            <w:tcW w:w="2175" w:type="dxa"/>
          </w:tcPr>
          <w:p w14:paraId="18272CE2" w14:textId="623CB9BE" w:rsidR="005A3B54" w:rsidRDefault="005A3B54" w:rsidP="005A3B54">
            <w:r>
              <w:t>Boxes</w:t>
            </w:r>
          </w:p>
        </w:tc>
        <w:tc>
          <w:tcPr>
            <w:tcW w:w="1146" w:type="dxa"/>
          </w:tcPr>
          <w:p w14:paraId="31F19F90" w14:textId="41C69FD4" w:rsidR="005A3B54" w:rsidRDefault="005A3B54" w:rsidP="005A3B54">
            <w:r>
              <w:t>Facilities</w:t>
            </w:r>
          </w:p>
        </w:tc>
        <w:tc>
          <w:tcPr>
            <w:tcW w:w="2991" w:type="dxa"/>
          </w:tcPr>
          <w:p w14:paraId="49723FD6" w14:textId="77777777" w:rsidR="005A3B54" w:rsidRDefault="005A3B54" w:rsidP="005A3B54"/>
        </w:tc>
        <w:tc>
          <w:tcPr>
            <w:tcW w:w="2773" w:type="dxa"/>
          </w:tcPr>
          <w:p w14:paraId="3F07D028" w14:textId="77777777" w:rsidR="005A3B54" w:rsidRDefault="005A3B54" w:rsidP="005A3B54"/>
        </w:tc>
      </w:tr>
      <w:tr w:rsidR="005A3B54" w14:paraId="0863171D" w14:textId="77777777" w:rsidTr="00176E21">
        <w:trPr>
          <w:trHeight w:val="20"/>
        </w:trPr>
        <w:tc>
          <w:tcPr>
            <w:tcW w:w="2175" w:type="dxa"/>
          </w:tcPr>
          <w:p w14:paraId="4A239C39" w14:textId="46CF2284" w:rsidR="005A3B54" w:rsidRDefault="005A3B54" w:rsidP="005A3B54">
            <w:r>
              <w:t>Packing the boxes</w:t>
            </w:r>
          </w:p>
        </w:tc>
        <w:tc>
          <w:tcPr>
            <w:tcW w:w="1146" w:type="dxa"/>
          </w:tcPr>
          <w:p w14:paraId="532D0A7A" w14:textId="53010BD7" w:rsidR="005A3B54" w:rsidRPr="00D833E3" w:rsidRDefault="005A3B54" w:rsidP="005A3B54">
            <w:r w:rsidRPr="00D833E3">
              <w:t>Unit</w:t>
            </w:r>
          </w:p>
        </w:tc>
        <w:tc>
          <w:tcPr>
            <w:tcW w:w="2991" w:type="dxa"/>
          </w:tcPr>
          <w:p w14:paraId="199A65A8" w14:textId="77777777" w:rsidR="005A3B54" w:rsidRDefault="005A3B54" w:rsidP="005A3B54"/>
        </w:tc>
        <w:tc>
          <w:tcPr>
            <w:tcW w:w="2773" w:type="dxa"/>
          </w:tcPr>
          <w:p w14:paraId="533A8DE9" w14:textId="77777777" w:rsidR="005A3B54" w:rsidRDefault="005A3B54" w:rsidP="005A3B54"/>
        </w:tc>
      </w:tr>
      <w:tr w:rsidR="005A3B54" w14:paraId="4E31536A" w14:textId="77777777" w:rsidTr="00176E21">
        <w:trPr>
          <w:trHeight w:val="20"/>
        </w:trPr>
        <w:tc>
          <w:tcPr>
            <w:tcW w:w="2175" w:type="dxa"/>
          </w:tcPr>
          <w:p w14:paraId="3AE8A749" w14:textId="2D7D2CDF" w:rsidR="005A3B54" w:rsidRDefault="005A3B54" w:rsidP="005A3B54">
            <w:r>
              <w:t>Storage</w:t>
            </w:r>
          </w:p>
        </w:tc>
        <w:tc>
          <w:tcPr>
            <w:tcW w:w="1146" w:type="dxa"/>
          </w:tcPr>
          <w:p w14:paraId="0A667271" w14:textId="53376C5E" w:rsidR="005A3B54" w:rsidRPr="00D833E3" w:rsidRDefault="005A3B54" w:rsidP="005A3B54">
            <w:r w:rsidRPr="00D833E3">
              <w:t>Unit</w:t>
            </w:r>
          </w:p>
        </w:tc>
        <w:tc>
          <w:tcPr>
            <w:tcW w:w="2991" w:type="dxa"/>
          </w:tcPr>
          <w:p w14:paraId="33D57C60" w14:textId="77777777" w:rsidR="005A3B54" w:rsidRDefault="005A3B54" w:rsidP="005A3B54"/>
        </w:tc>
        <w:tc>
          <w:tcPr>
            <w:tcW w:w="2773" w:type="dxa"/>
          </w:tcPr>
          <w:p w14:paraId="20112E7E" w14:textId="77777777" w:rsidR="005A3B54" w:rsidRDefault="005A3B54" w:rsidP="005A3B54"/>
        </w:tc>
      </w:tr>
      <w:tr w:rsidR="005A3B54" w14:paraId="514E395C" w14:textId="77777777" w:rsidTr="00176E21">
        <w:trPr>
          <w:trHeight w:val="20"/>
        </w:trPr>
        <w:tc>
          <w:tcPr>
            <w:tcW w:w="2175" w:type="dxa"/>
          </w:tcPr>
          <w:p w14:paraId="3E1D4A04" w14:textId="3821CD1C" w:rsidR="005A3B54" w:rsidRDefault="005A3B54" w:rsidP="005A3B54">
            <w:r>
              <w:t>Moving empty furniture</w:t>
            </w:r>
          </w:p>
        </w:tc>
        <w:tc>
          <w:tcPr>
            <w:tcW w:w="1146" w:type="dxa"/>
          </w:tcPr>
          <w:p w14:paraId="04AD41E4" w14:textId="5B550357" w:rsidR="005A3B54" w:rsidRDefault="005A3B54" w:rsidP="005A3B54">
            <w:r>
              <w:t>Facilities</w:t>
            </w:r>
          </w:p>
        </w:tc>
        <w:tc>
          <w:tcPr>
            <w:tcW w:w="2991" w:type="dxa"/>
          </w:tcPr>
          <w:p w14:paraId="029CC215" w14:textId="77777777" w:rsidR="005A3B54" w:rsidRDefault="005A3B54" w:rsidP="005A3B54"/>
        </w:tc>
        <w:tc>
          <w:tcPr>
            <w:tcW w:w="2773" w:type="dxa"/>
          </w:tcPr>
          <w:p w14:paraId="52CE598C" w14:textId="77777777" w:rsidR="005A3B54" w:rsidRDefault="005A3B54" w:rsidP="005A3B54"/>
        </w:tc>
      </w:tr>
      <w:tr w:rsidR="005A3B54" w14:paraId="2FFCF3B7" w14:textId="77777777" w:rsidTr="00176E21">
        <w:trPr>
          <w:trHeight w:val="20"/>
        </w:trPr>
        <w:tc>
          <w:tcPr>
            <w:tcW w:w="2175" w:type="dxa"/>
          </w:tcPr>
          <w:p w14:paraId="22689C8A" w14:textId="3B0ACA5E" w:rsidR="005A3B54" w:rsidRDefault="005A3B54" w:rsidP="005A3B54">
            <w:r>
              <w:t>Carpet cleaning (if needed)</w:t>
            </w:r>
          </w:p>
        </w:tc>
        <w:tc>
          <w:tcPr>
            <w:tcW w:w="1146" w:type="dxa"/>
          </w:tcPr>
          <w:p w14:paraId="224A2C68" w14:textId="7BB8AFFC" w:rsidR="005A3B54" w:rsidRDefault="005A3B54" w:rsidP="005A3B54">
            <w:r>
              <w:t>Facilities</w:t>
            </w:r>
          </w:p>
        </w:tc>
        <w:tc>
          <w:tcPr>
            <w:tcW w:w="2991" w:type="dxa"/>
          </w:tcPr>
          <w:p w14:paraId="2C75696C" w14:textId="595ED157" w:rsidR="005A3B54" w:rsidRDefault="005A3B54" w:rsidP="005A3B54">
            <w:r>
              <w:t>Unit requests carpet cleaning despite facilities manager deeming it not necessary.</w:t>
            </w:r>
          </w:p>
        </w:tc>
        <w:tc>
          <w:tcPr>
            <w:tcW w:w="2773" w:type="dxa"/>
          </w:tcPr>
          <w:p w14:paraId="2F5A22FC" w14:textId="77777777" w:rsidR="005A3B54" w:rsidRDefault="005A3B54" w:rsidP="005A3B54"/>
        </w:tc>
      </w:tr>
      <w:tr w:rsidR="005A3B54" w14:paraId="0902EDE2" w14:textId="77777777" w:rsidTr="00176E21">
        <w:trPr>
          <w:trHeight w:val="20"/>
        </w:trPr>
        <w:tc>
          <w:tcPr>
            <w:tcW w:w="2175" w:type="dxa"/>
          </w:tcPr>
          <w:p w14:paraId="2C2B100C" w14:textId="5981E236" w:rsidR="005A3B54" w:rsidRDefault="005A3B54" w:rsidP="005A3B54">
            <w:r>
              <w:t>Painting (if needed)</w:t>
            </w:r>
          </w:p>
        </w:tc>
        <w:tc>
          <w:tcPr>
            <w:tcW w:w="1146" w:type="dxa"/>
          </w:tcPr>
          <w:p w14:paraId="0B1378C0" w14:textId="6CFCF4D5" w:rsidR="005A3B54" w:rsidRDefault="005A3B54" w:rsidP="005A3B54">
            <w:r>
              <w:t>Facilities</w:t>
            </w:r>
          </w:p>
        </w:tc>
        <w:tc>
          <w:tcPr>
            <w:tcW w:w="2991" w:type="dxa"/>
          </w:tcPr>
          <w:p w14:paraId="3AC71233" w14:textId="39F4BE07" w:rsidR="005A3B54" w:rsidRDefault="005A3B54" w:rsidP="005A3B54">
            <w:r>
              <w:t>Unit requests painting despite facilities manager deeming it not necessary.</w:t>
            </w:r>
          </w:p>
        </w:tc>
        <w:tc>
          <w:tcPr>
            <w:tcW w:w="2773" w:type="dxa"/>
          </w:tcPr>
          <w:p w14:paraId="0212097F" w14:textId="77777777" w:rsidR="005A3B54" w:rsidRDefault="005A3B54" w:rsidP="005A3B54"/>
        </w:tc>
      </w:tr>
      <w:tr w:rsidR="005A3B54" w14:paraId="145DED1E" w14:textId="77777777" w:rsidTr="00176E21">
        <w:trPr>
          <w:trHeight w:val="20"/>
        </w:trPr>
        <w:tc>
          <w:tcPr>
            <w:tcW w:w="2175" w:type="dxa"/>
            <w:tcBorders>
              <w:bottom w:val="single" w:sz="4" w:space="0" w:color="auto"/>
            </w:tcBorders>
          </w:tcPr>
          <w:p w14:paraId="3FFDD958" w14:textId="31518F7F" w:rsidR="005A3B54" w:rsidRDefault="005A3B54" w:rsidP="005A3B54">
            <w:r>
              <w:t>Basic furniture (used or new)</w:t>
            </w:r>
          </w:p>
        </w:tc>
        <w:tc>
          <w:tcPr>
            <w:tcW w:w="1146" w:type="dxa"/>
            <w:tcBorders>
              <w:bottom w:val="single" w:sz="4" w:space="0" w:color="auto"/>
            </w:tcBorders>
          </w:tcPr>
          <w:p w14:paraId="0887EC4C" w14:textId="79E34276" w:rsidR="005A3B54" w:rsidRDefault="005A3B54" w:rsidP="005A3B54">
            <w:r>
              <w:t>Facilities</w:t>
            </w:r>
          </w:p>
        </w:tc>
        <w:tc>
          <w:tcPr>
            <w:tcW w:w="2991" w:type="dxa"/>
            <w:tcBorders>
              <w:bottom w:val="single" w:sz="4" w:space="0" w:color="auto"/>
            </w:tcBorders>
          </w:tcPr>
          <w:p w14:paraId="28F4C4B9" w14:textId="111609E0" w:rsidR="005A3B54" w:rsidRDefault="005A3B54" w:rsidP="005A3B54">
            <w:r>
              <w:t>Unit requests new furniture despite facilities manager deeming it not necessary.</w:t>
            </w:r>
          </w:p>
        </w:tc>
        <w:tc>
          <w:tcPr>
            <w:tcW w:w="2773" w:type="dxa"/>
            <w:tcBorders>
              <w:bottom w:val="single" w:sz="4" w:space="0" w:color="auto"/>
            </w:tcBorders>
          </w:tcPr>
          <w:p w14:paraId="512BB224" w14:textId="77777777" w:rsidR="005A3B54" w:rsidRDefault="005A3B54" w:rsidP="005A3B54"/>
        </w:tc>
      </w:tr>
      <w:tr w:rsidR="005A3B54" w14:paraId="7342DFCC" w14:textId="77777777" w:rsidTr="00176E21">
        <w:trPr>
          <w:trHeight w:val="20"/>
        </w:trPr>
        <w:tc>
          <w:tcPr>
            <w:tcW w:w="9085" w:type="dxa"/>
            <w:gridSpan w:val="4"/>
            <w:shd w:val="clear" w:color="auto" w:fill="B3E5A1" w:themeFill="accent6" w:themeFillTint="66"/>
          </w:tcPr>
          <w:p w14:paraId="424F3220" w14:textId="5AD45BE8" w:rsidR="005A3B54" w:rsidRDefault="005A3B54" w:rsidP="005A3B54">
            <w:pPr>
              <w:pStyle w:val="Heading4"/>
            </w:pPr>
            <w:r>
              <w:t>Office needs outside of an incident that are not covered elsewhere</w:t>
            </w:r>
          </w:p>
        </w:tc>
      </w:tr>
      <w:tr w:rsidR="005A3B54" w14:paraId="76FBE276" w14:textId="77777777" w:rsidTr="00176E21">
        <w:trPr>
          <w:trHeight w:val="20"/>
        </w:trPr>
        <w:tc>
          <w:tcPr>
            <w:tcW w:w="2175" w:type="dxa"/>
          </w:tcPr>
          <w:p w14:paraId="665F008A" w14:textId="60FCD9C9" w:rsidR="005A3B54" w:rsidRDefault="005A3B54" w:rsidP="005A3B54">
            <w:r>
              <w:t>Carpet Cleaning</w:t>
            </w:r>
          </w:p>
        </w:tc>
        <w:tc>
          <w:tcPr>
            <w:tcW w:w="1146" w:type="dxa"/>
          </w:tcPr>
          <w:p w14:paraId="65A4930F" w14:textId="48F1B7DE" w:rsidR="005A3B54" w:rsidRPr="00D833E3" w:rsidRDefault="005A3B54" w:rsidP="005A3B54">
            <w:r w:rsidRPr="00D833E3">
              <w:t>Unit</w:t>
            </w:r>
          </w:p>
        </w:tc>
        <w:tc>
          <w:tcPr>
            <w:tcW w:w="2991" w:type="dxa"/>
          </w:tcPr>
          <w:p w14:paraId="2CE25C33" w14:textId="15B7E9CE" w:rsidR="005A3B54" w:rsidRDefault="005A3B54" w:rsidP="005A3B54"/>
        </w:tc>
        <w:tc>
          <w:tcPr>
            <w:tcW w:w="2773" w:type="dxa"/>
          </w:tcPr>
          <w:p w14:paraId="02F7C98D" w14:textId="77777777" w:rsidR="005A3B54" w:rsidRDefault="005A3B54" w:rsidP="005A3B54"/>
        </w:tc>
      </w:tr>
      <w:tr w:rsidR="005A3B54" w14:paraId="61A072B6" w14:textId="77777777" w:rsidTr="00176E21">
        <w:trPr>
          <w:trHeight w:val="20"/>
        </w:trPr>
        <w:tc>
          <w:tcPr>
            <w:tcW w:w="2175" w:type="dxa"/>
          </w:tcPr>
          <w:p w14:paraId="601C4B60" w14:textId="0DAE3829" w:rsidR="005A3B54" w:rsidRDefault="005A3B54" w:rsidP="005A3B54">
            <w:r>
              <w:t>Painting</w:t>
            </w:r>
          </w:p>
        </w:tc>
        <w:tc>
          <w:tcPr>
            <w:tcW w:w="1146" w:type="dxa"/>
          </w:tcPr>
          <w:p w14:paraId="388486CE" w14:textId="14AE53CD" w:rsidR="005A3B54" w:rsidRPr="00D833E3" w:rsidRDefault="005A3B54" w:rsidP="005A3B54">
            <w:r w:rsidRPr="00D833E3">
              <w:t>Unit</w:t>
            </w:r>
          </w:p>
        </w:tc>
        <w:tc>
          <w:tcPr>
            <w:tcW w:w="2991" w:type="dxa"/>
          </w:tcPr>
          <w:p w14:paraId="266E0261" w14:textId="77777777" w:rsidR="005A3B54" w:rsidRDefault="005A3B54" w:rsidP="005A3B54"/>
        </w:tc>
        <w:tc>
          <w:tcPr>
            <w:tcW w:w="2773" w:type="dxa"/>
          </w:tcPr>
          <w:p w14:paraId="655DFC2F" w14:textId="77777777" w:rsidR="005A3B54" w:rsidRDefault="005A3B54" w:rsidP="005A3B54"/>
        </w:tc>
      </w:tr>
      <w:tr w:rsidR="005A3B54" w14:paraId="75662CB8" w14:textId="77777777" w:rsidTr="00176E21">
        <w:trPr>
          <w:trHeight w:val="20"/>
        </w:trPr>
        <w:tc>
          <w:tcPr>
            <w:tcW w:w="2175" w:type="dxa"/>
          </w:tcPr>
          <w:p w14:paraId="3BC312AD" w14:textId="336E8920" w:rsidR="005A3B54" w:rsidRDefault="005A3B54" w:rsidP="005A3B54">
            <w:r>
              <w:t>Furniture</w:t>
            </w:r>
          </w:p>
        </w:tc>
        <w:tc>
          <w:tcPr>
            <w:tcW w:w="1146" w:type="dxa"/>
          </w:tcPr>
          <w:p w14:paraId="45B05DA5" w14:textId="4D0FD722" w:rsidR="005A3B54" w:rsidRPr="00D833E3" w:rsidRDefault="005A3B54" w:rsidP="005A3B54">
            <w:r w:rsidRPr="00D833E3">
              <w:t>Unit</w:t>
            </w:r>
          </w:p>
        </w:tc>
        <w:tc>
          <w:tcPr>
            <w:tcW w:w="2991" w:type="dxa"/>
          </w:tcPr>
          <w:p w14:paraId="5AD6758D" w14:textId="77777777" w:rsidR="005A3B54" w:rsidRDefault="005A3B54" w:rsidP="005A3B54"/>
        </w:tc>
        <w:tc>
          <w:tcPr>
            <w:tcW w:w="2773" w:type="dxa"/>
          </w:tcPr>
          <w:p w14:paraId="7068893F" w14:textId="77777777" w:rsidR="005A3B54" w:rsidRDefault="005A3B54" w:rsidP="005A3B54"/>
        </w:tc>
      </w:tr>
      <w:tr w:rsidR="005A3B54" w14:paraId="0D429DFA" w14:textId="77777777" w:rsidTr="00176E21">
        <w:trPr>
          <w:trHeight w:val="20"/>
        </w:trPr>
        <w:tc>
          <w:tcPr>
            <w:tcW w:w="2175" w:type="dxa"/>
          </w:tcPr>
          <w:p w14:paraId="7BC5BEA5" w14:textId="76AD4553" w:rsidR="005A3B54" w:rsidRDefault="005A3B54" w:rsidP="005A3B54">
            <w:r>
              <w:t>Supplies</w:t>
            </w:r>
          </w:p>
        </w:tc>
        <w:tc>
          <w:tcPr>
            <w:tcW w:w="1146" w:type="dxa"/>
          </w:tcPr>
          <w:p w14:paraId="6C2FB161" w14:textId="37455BC0" w:rsidR="005A3B54" w:rsidRPr="00D833E3" w:rsidRDefault="005A3B54" w:rsidP="005A3B54">
            <w:r w:rsidRPr="00D833E3">
              <w:t>Unit</w:t>
            </w:r>
          </w:p>
        </w:tc>
        <w:tc>
          <w:tcPr>
            <w:tcW w:w="2991" w:type="dxa"/>
          </w:tcPr>
          <w:p w14:paraId="40993E8A" w14:textId="77777777" w:rsidR="005A3B54" w:rsidRDefault="005A3B54" w:rsidP="005A3B54"/>
        </w:tc>
        <w:tc>
          <w:tcPr>
            <w:tcW w:w="2773" w:type="dxa"/>
          </w:tcPr>
          <w:p w14:paraId="52010C53" w14:textId="77777777" w:rsidR="005A3B54" w:rsidRDefault="005A3B54" w:rsidP="005A3B54"/>
        </w:tc>
      </w:tr>
      <w:tr w:rsidR="005A3B54" w14:paraId="2B06545B" w14:textId="77777777" w:rsidTr="00176E21">
        <w:trPr>
          <w:trHeight w:val="20"/>
        </w:trPr>
        <w:tc>
          <w:tcPr>
            <w:tcW w:w="9085" w:type="dxa"/>
            <w:gridSpan w:val="4"/>
            <w:shd w:val="clear" w:color="auto" w:fill="B3E5A1" w:themeFill="accent6" w:themeFillTint="66"/>
          </w:tcPr>
          <w:p w14:paraId="7F779E71" w14:textId="07A97779" w:rsidR="005A3B54" w:rsidRDefault="005A3B54" w:rsidP="005A3B54">
            <w:pPr>
              <w:pStyle w:val="Heading4"/>
            </w:pPr>
            <w:r>
              <w:t>Office Needs Due to an Incident</w:t>
            </w:r>
          </w:p>
        </w:tc>
      </w:tr>
      <w:tr w:rsidR="005A3B54" w14:paraId="2135905B" w14:textId="77777777" w:rsidTr="00176E21">
        <w:trPr>
          <w:trHeight w:val="20"/>
        </w:trPr>
        <w:tc>
          <w:tcPr>
            <w:tcW w:w="2175" w:type="dxa"/>
          </w:tcPr>
          <w:p w14:paraId="6CD12408" w14:textId="16ACA065" w:rsidR="005A3B54" w:rsidRDefault="005A3B54" w:rsidP="005A3B54">
            <w:r>
              <w:t>Carpet Cleaning</w:t>
            </w:r>
          </w:p>
        </w:tc>
        <w:tc>
          <w:tcPr>
            <w:tcW w:w="1146" w:type="dxa"/>
          </w:tcPr>
          <w:p w14:paraId="2E604816" w14:textId="71929EB5" w:rsidR="005A3B54" w:rsidRDefault="005A3B54" w:rsidP="005A3B54">
            <w:r>
              <w:t>Facilities</w:t>
            </w:r>
          </w:p>
        </w:tc>
        <w:tc>
          <w:tcPr>
            <w:tcW w:w="2991" w:type="dxa"/>
          </w:tcPr>
          <w:p w14:paraId="07636E71" w14:textId="77777777" w:rsidR="005A3B54" w:rsidRDefault="005A3B54" w:rsidP="005A3B54"/>
        </w:tc>
        <w:tc>
          <w:tcPr>
            <w:tcW w:w="2773" w:type="dxa"/>
            <w:vMerge w:val="restart"/>
          </w:tcPr>
          <w:p w14:paraId="0C9091C9" w14:textId="61E1793E" w:rsidR="005A3B54" w:rsidRDefault="005A3B54" w:rsidP="005A3B54">
            <w:r>
              <w:t>Incidents include flooding, construction, ceiling leaks, vandalism, remodeling</w:t>
            </w:r>
          </w:p>
        </w:tc>
      </w:tr>
      <w:tr w:rsidR="005A3B54" w14:paraId="20BC4A97" w14:textId="77777777" w:rsidTr="00176E21">
        <w:trPr>
          <w:trHeight w:val="20"/>
        </w:trPr>
        <w:tc>
          <w:tcPr>
            <w:tcW w:w="2175" w:type="dxa"/>
          </w:tcPr>
          <w:p w14:paraId="6E21F84A" w14:textId="779209CC" w:rsidR="005A3B54" w:rsidRDefault="005A3B54" w:rsidP="005A3B54">
            <w:r>
              <w:t>Painting</w:t>
            </w:r>
          </w:p>
        </w:tc>
        <w:tc>
          <w:tcPr>
            <w:tcW w:w="1146" w:type="dxa"/>
          </w:tcPr>
          <w:p w14:paraId="283F1FCD" w14:textId="5205CB3B" w:rsidR="005A3B54" w:rsidRDefault="005A3B54" w:rsidP="005A3B54">
            <w:r>
              <w:t>Facilities</w:t>
            </w:r>
          </w:p>
        </w:tc>
        <w:tc>
          <w:tcPr>
            <w:tcW w:w="2991" w:type="dxa"/>
          </w:tcPr>
          <w:p w14:paraId="44844153" w14:textId="77777777" w:rsidR="005A3B54" w:rsidRDefault="005A3B54" w:rsidP="005A3B54"/>
        </w:tc>
        <w:tc>
          <w:tcPr>
            <w:tcW w:w="2773" w:type="dxa"/>
            <w:vMerge/>
          </w:tcPr>
          <w:p w14:paraId="20CAD78F" w14:textId="77777777" w:rsidR="005A3B54" w:rsidRDefault="005A3B54" w:rsidP="005A3B54"/>
        </w:tc>
      </w:tr>
      <w:tr w:rsidR="005A3B54" w14:paraId="392961FA" w14:textId="77777777" w:rsidTr="00176E21">
        <w:trPr>
          <w:trHeight w:val="20"/>
        </w:trPr>
        <w:tc>
          <w:tcPr>
            <w:tcW w:w="2175" w:type="dxa"/>
            <w:tcBorders>
              <w:bottom w:val="single" w:sz="4" w:space="0" w:color="auto"/>
            </w:tcBorders>
          </w:tcPr>
          <w:p w14:paraId="6E405C28" w14:textId="388EBF69" w:rsidR="005A3B54" w:rsidRDefault="005A3B54" w:rsidP="005A3B54">
            <w:r>
              <w:t>Furniture</w:t>
            </w:r>
          </w:p>
        </w:tc>
        <w:tc>
          <w:tcPr>
            <w:tcW w:w="1146" w:type="dxa"/>
            <w:tcBorders>
              <w:bottom w:val="single" w:sz="4" w:space="0" w:color="auto"/>
            </w:tcBorders>
          </w:tcPr>
          <w:p w14:paraId="361C4FAF" w14:textId="1B0DC7A7" w:rsidR="005A3B54" w:rsidRDefault="005A3B54" w:rsidP="005A3B54">
            <w:r>
              <w:t>Facilities</w:t>
            </w:r>
          </w:p>
        </w:tc>
        <w:tc>
          <w:tcPr>
            <w:tcW w:w="2991" w:type="dxa"/>
            <w:tcBorders>
              <w:bottom w:val="single" w:sz="4" w:space="0" w:color="auto"/>
            </w:tcBorders>
          </w:tcPr>
          <w:p w14:paraId="19E9D3F5" w14:textId="77777777" w:rsidR="005A3B54" w:rsidRDefault="005A3B54" w:rsidP="005A3B54"/>
        </w:tc>
        <w:tc>
          <w:tcPr>
            <w:tcW w:w="2773" w:type="dxa"/>
            <w:vMerge/>
            <w:tcBorders>
              <w:bottom w:val="single" w:sz="4" w:space="0" w:color="auto"/>
            </w:tcBorders>
          </w:tcPr>
          <w:p w14:paraId="3A751813" w14:textId="77777777" w:rsidR="005A3B54" w:rsidRDefault="005A3B54" w:rsidP="005A3B54"/>
        </w:tc>
      </w:tr>
    </w:tbl>
    <w:p w14:paraId="79347554" w14:textId="77777777" w:rsidR="005A3B54" w:rsidRDefault="005A3B54">
      <w:r>
        <w:br w:type="page"/>
      </w:r>
    </w:p>
    <w:tbl>
      <w:tblPr>
        <w:tblStyle w:val="TableGrid"/>
        <w:tblW w:w="9085" w:type="dxa"/>
        <w:tblLook w:val="04A0" w:firstRow="1" w:lastRow="0" w:firstColumn="1" w:lastColumn="0" w:noHBand="0" w:noVBand="1"/>
      </w:tblPr>
      <w:tblGrid>
        <w:gridCol w:w="2175"/>
        <w:gridCol w:w="1146"/>
        <w:gridCol w:w="2991"/>
        <w:gridCol w:w="2773"/>
      </w:tblGrid>
      <w:tr w:rsidR="005A3B54" w14:paraId="68C8EB2A" w14:textId="77777777" w:rsidTr="005A3B54">
        <w:trPr>
          <w:trHeight w:val="20"/>
        </w:trPr>
        <w:tc>
          <w:tcPr>
            <w:tcW w:w="2175" w:type="dxa"/>
            <w:tcBorders>
              <w:bottom w:val="single" w:sz="4" w:space="0" w:color="auto"/>
            </w:tcBorders>
            <w:shd w:val="clear" w:color="auto" w:fill="E8E8E8" w:themeFill="background2"/>
          </w:tcPr>
          <w:p w14:paraId="6E6165B3" w14:textId="50E19596" w:rsidR="005A3B54" w:rsidRDefault="005A3B54" w:rsidP="005A3B54">
            <w:pPr>
              <w:pStyle w:val="Heading3"/>
            </w:pPr>
            <w:r>
              <w:lastRenderedPageBreak/>
              <w:t>Topic</w:t>
            </w:r>
          </w:p>
        </w:tc>
        <w:tc>
          <w:tcPr>
            <w:tcW w:w="1146" w:type="dxa"/>
            <w:tcBorders>
              <w:bottom w:val="single" w:sz="4" w:space="0" w:color="auto"/>
            </w:tcBorders>
            <w:shd w:val="clear" w:color="auto" w:fill="E8E8E8" w:themeFill="background2"/>
          </w:tcPr>
          <w:p w14:paraId="29877F36" w14:textId="5807C762" w:rsidR="005A3B54" w:rsidRDefault="005A3B54" w:rsidP="005A3B54">
            <w:pPr>
              <w:pStyle w:val="Heading3"/>
            </w:pPr>
            <w:r>
              <w:t>Resp.</w:t>
            </w:r>
          </w:p>
        </w:tc>
        <w:tc>
          <w:tcPr>
            <w:tcW w:w="2991" w:type="dxa"/>
            <w:tcBorders>
              <w:bottom w:val="single" w:sz="4" w:space="0" w:color="auto"/>
            </w:tcBorders>
            <w:shd w:val="clear" w:color="auto" w:fill="E8E8E8" w:themeFill="background2"/>
          </w:tcPr>
          <w:p w14:paraId="4E2805C5" w14:textId="3D78D21E" w:rsidR="005A3B54" w:rsidRDefault="005A3B54" w:rsidP="005A3B54">
            <w:pPr>
              <w:pStyle w:val="Heading3"/>
            </w:pPr>
            <w:r>
              <w:t>Exceptions</w:t>
            </w:r>
          </w:p>
        </w:tc>
        <w:tc>
          <w:tcPr>
            <w:tcW w:w="2773" w:type="dxa"/>
            <w:tcBorders>
              <w:bottom w:val="single" w:sz="4" w:space="0" w:color="auto"/>
            </w:tcBorders>
            <w:shd w:val="clear" w:color="auto" w:fill="E8E8E8" w:themeFill="background2"/>
          </w:tcPr>
          <w:p w14:paraId="70723785" w14:textId="5F21A8BB" w:rsidR="005A3B54" w:rsidRDefault="005A3B54" w:rsidP="005A3B54">
            <w:pPr>
              <w:pStyle w:val="Heading3"/>
            </w:pPr>
            <w:r>
              <w:t>Notes</w:t>
            </w:r>
          </w:p>
        </w:tc>
      </w:tr>
      <w:tr w:rsidR="005A3B54" w14:paraId="01F6539A" w14:textId="77777777" w:rsidTr="00176E21">
        <w:trPr>
          <w:trHeight w:val="20"/>
        </w:trPr>
        <w:tc>
          <w:tcPr>
            <w:tcW w:w="9085" w:type="dxa"/>
            <w:gridSpan w:val="4"/>
            <w:shd w:val="clear" w:color="auto" w:fill="B3E5A1" w:themeFill="accent6" w:themeFillTint="66"/>
          </w:tcPr>
          <w:p w14:paraId="6DEB966A" w14:textId="227305E2" w:rsidR="005A3B54" w:rsidRDefault="005A3B54" w:rsidP="005A3B54">
            <w:pPr>
              <w:pStyle w:val="Heading4"/>
            </w:pPr>
            <w:r>
              <w:t>Other Facilities Needs</w:t>
            </w:r>
          </w:p>
        </w:tc>
      </w:tr>
      <w:tr w:rsidR="005A3B54" w14:paraId="29B62D12" w14:textId="77777777" w:rsidTr="00176E21">
        <w:trPr>
          <w:trHeight w:val="20"/>
        </w:trPr>
        <w:tc>
          <w:tcPr>
            <w:tcW w:w="2175" w:type="dxa"/>
          </w:tcPr>
          <w:p w14:paraId="23592D3E" w14:textId="050F6629" w:rsidR="005A3B54" w:rsidRDefault="005A3B54" w:rsidP="005A3B54">
            <w:r>
              <w:t>Ceiling tiles</w:t>
            </w:r>
          </w:p>
        </w:tc>
        <w:tc>
          <w:tcPr>
            <w:tcW w:w="1146" w:type="dxa"/>
          </w:tcPr>
          <w:p w14:paraId="2F295713" w14:textId="1F99A378" w:rsidR="005A3B54" w:rsidRDefault="005A3B54" w:rsidP="005A3B54">
            <w:r>
              <w:t>Facilities</w:t>
            </w:r>
          </w:p>
        </w:tc>
        <w:tc>
          <w:tcPr>
            <w:tcW w:w="2991" w:type="dxa"/>
          </w:tcPr>
          <w:p w14:paraId="39CB45C4" w14:textId="40F13502" w:rsidR="005A3B54" w:rsidRDefault="005A3B54" w:rsidP="005A3B54">
            <w:r>
              <w:t>Unit employees damage/decorate tiles</w:t>
            </w:r>
          </w:p>
        </w:tc>
        <w:tc>
          <w:tcPr>
            <w:tcW w:w="2773" w:type="dxa"/>
          </w:tcPr>
          <w:p w14:paraId="46403ECE" w14:textId="77777777" w:rsidR="005A3B54" w:rsidRDefault="005A3B54" w:rsidP="005A3B54"/>
        </w:tc>
      </w:tr>
      <w:tr w:rsidR="005A3B54" w14:paraId="6C7383CB" w14:textId="77777777" w:rsidTr="00176E21">
        <w:trPr>
          <w:trHeight w:val="20"/>
        </w:trPr>
        <w:tc>
          <w:tcPr>
            <w:tcW w:w="2175" w:type="dxa"/>
          </w:tcPr>
          <w:p w14:paraId="416052D8" w14:textId="3398BF71" w:rsidR="005A3B54" w:rsidRDefault="005A3B54" w:rsidP="005A3B54">
            <w:r>
              <w:t>Plumbing issues</w:t>
            </w:r>
          </w:p>
        </w:tc>
        <w:tc>
          <w:tcPr>
            <w:tcW w:w="1146" w:type="dxa"/>
          </w:tcPr>
          <w:p w14:paraId="2756F7AB" w14:textId="78CDF9A8" w:rsidR="005A3B54" w:rsidRDefault="005A3B54" w:rsidP="005A3B54">
            <w:r>
              <w:t>Facilities</w:t>
            </w:r>
          </w:p>
        </w:tc>
        <w:tc>
          <w:tcPr>
            <w:tcW w:w="2991" w:type="dxa"/>
          </w:tcPr>
          <w:p w14:paraId="0EBBF36E" w14:textId="66B60C82" w:rsidR="005A3B54" w:rsidRDefault="005A3B54" w:rsidP="005A3B54">
            <w:r>
              <w:t>Unit water coolers/water dispensers</w:t>
            </w:r>
          </w:p>
        </w:tc>
        <w:tc>
          <w:tcPr>
            <w:tcW w:w="2773" w:type="dxa"/>
          </w:tcPr>
          <w:p w14:paraId="5B768259" w14:textId="77777777" w:rsidR="005A3B54" w:rsidRDefault="005A3B54" w:rsidP="005A3B54"/>
        </w:tc>
      </w:tr>
      <w:tr w:rsidR="005A3B54" w14:paraId="7C453B56" w14:textId="77777777" w:rsidTr="00176E21">
        <w:trPr>
          <w:trHeight w:val="20"/>
        </w:trPr>
        <w:tc>
          <w:tcPr>
            <w:tcW w:w="2175" w:type="dxa"/>
          </w:tcPr>
          <w:p w14:paraId="66F8C365" w14:textId="7A580109" w:rsidR="005A3B54" w:rsidRDefault="005A3B54" w:rsidP="005A3B54">
            <w:r>
              <w:t>Windows</w:t>
            </w:r>
          </w:p>
        </w:tc>
        <w:tc>
          <w:tcPr>
            <w:tcW w:w="1146" w:type="dxa"/>
          </w:tcPr>
          <w:p w14:paraId="706CDE9E" w14:textId="3A21A9A7" w:rsidR="005A3B54" w:rsidRDefault="005A3B54" w:rsidP="005A3B54">
            <w:r>
              <w:t>Facilities</w:t>
            </w:r>
          </w:p>
        </w:tc>
        <w:tc>
          <w:tcPr>
            <w:tcW w:w="2991" w:type="dxa"/>
          </w:tcPr>
          <w:p w14:paraId="2E9F427A" w14:textId="10F98B84" w:rsidR="005A3B54" w:rsidRDefault="005A3B54" w:rsidP="005A3B54">
            <w:r>
              <w:t>Unit employee damage</w:t>
            </w:r>
          </w:p>
        </w:tc>
        <w:tc>
          <w:tcPr>
            <w:tcW w:w="2773" w:type="dxa"/>
          </w:tcPr>
          <w:p w14:paraId="2EC5FB44" w14:textId="77777777" w:rsidR="005A3B54" w:rsidRDefault="005A3B54" w:rsidP="005A3B54"/>
        </w:tc>
      </w:tr>
      <w:tr w:rsidR="005A3B54" w14:paraId="3786497B" w14:textId="77777777" w:rsidTr="00176E21">
        <w:trPr>
          <w:trHeight w:val="20"/>
        </w:trPr>
        <w:tc>
          <w:tcPr>
            <w:tcW w:w="2175" w:type="dxa"/>
          </w:tcPr>
          <w:p w14:paraId="4E5D6567" w14:textId="7ADC1080" w:rsidR="005A3B54" w:rsidRDefault="005A3B54" w:rsidP="005A3B54">
            <w:r>
              <w:t>Wall damage</w:t>
            </w:r>
          </w:p>
        </w:tc>
        <w:tc>
          <w:tcPr>
            <w:tcW w:w="1146" w:type="dxa"/>
          </w:tcPr>
          <w:p w14:paraId="700810E2" w14:textId="1A483311" w:rsidR="005A3B54" w:rsidRDefault="005A3B54" w:rsidP="005A3B54">
            <w:r>
              <w:t>Facilities</w:t>
            </w:r>
          </w:p>
        </w:tc>
        <w:tc>
          <w:tcPr>
            <w:tcW w:w="2991" w:type="dxa"/>
          </w:tcPr>
          <w:p w14:paraId="4829AFAD" w14:textId="1439565E" w:rsidR="005A3B54" w:rsidRDefault="005A3B54" w:rsidP="005A3B54">
            <w:r>
              <w:t>Unit employee damage</w:t>
            </w:r>
          </w:p>
        </w:tc>
        <w:tc>
          <w:tcPr>
            <w:tcW w:w="2773" w:type="dxa"/>
          </w:tcPr>
          <w:p w14:paraId="02454C21" w14:textId="77777777" w:rsidR="005A3B54" w:rsidRDefault="005A3B54" w:rsidP="005A3B54"/>
        </w:tc>
      </w:tr>
      <w:tr w:rsidR="005A3B54" w14:paraId="679E9970" w14:textId="77777777" w:rsidTr="00176E21">
        <w:trPr>
          <w:trHeight w:val="20"/>
        </w:trPr>
        <w:tc>
          <w:tcPr>
            <w:tcW w:w="2175" w:type="dxa"/>
          </w:tcPr>
          <w:p w14:paraId="7ED75692" w14:textId="0CA4DEB2" w:rsidR="005A3B54" w:rsidRDefault="005A3B54" w:rsidP="005A3B54">
            <w:r>
              <w:t>Electrical</w:t>
            </w:r>
          </w:p>
        </w:tc>
        <w:tc>
          <w:tcPr>
            <w:tcW w:w="1146" w:type="dxa"/>
          </w:tcPr>
          <w:p w14:paraId="26212DA1" w14:textId="12B64198" w:rsidR="005A3B54" w:rsidRDefault="005A3B54" w:rsidP="005A3B54">
            <w:r>
              <w:t>Facilities</w:t>
            </w:r>
          </w:p>
        </w:tc>
        <w:tc>
          <w:tcPr>
            <w:tcW w:w="2991" w:type="dxa"/>
          </w:tcPr>
          <w:p w14:paraId="73FB256E" w14:textId="7953D10D" w:rsidR="005A3B54" w:rsidRDefault="005A3B54" w:rsidP="005A3B54">
            <w:r>
              <w:t>Unit special electrical requests</w:t>
            </w:r>
          </w:p>
        </w:tc>
        <w:tc>
          <w:tcPr>
            <w:tcW w:w="2773" w:type="dxa"/>
          </w:tcPr>
          <w:p w14:paraId="04D7D8A3" w14:textId="77777777" w:rsidR="005A3B54" w:rsidRDefault="005A3B54" w:rsidP="005A3B54"/>
        </w:tc>
      </w:tr>
      <w:tr w:rsidR="005A3B54" w14:paraId="5896A173" w14:textId="77777777" w:rsidTr="00176E21">
        <w:trPr>
          <w:trHeight w:val="20"/>
        </w:trPr>
        <w:tc>
          <w:tcPr>
            <w:tcW w:w="2175" w:type="dxa"/>
          </w:tcPr>
          <w:p w14:paraId="6881B3AC" w14:textId="6D0DF130" w:rsidR="005A3B54" w:rsidRDefault="005A3B54" w:rsidP="005A3B54">
            <w:r>
              <w:t>Accessibility changes required by RCPD</w:t>
            </w:r>
          </w:p>
        </w:tc>
        <w:tc>
          <w:tcPr>
            <w:tcW w:w="1146" w:type="dxa"/>
          </w:tcPr>
          <w:p w14:paraId="52D6C837" w14:textId="7A26A23C" w:rsidR="005A3B54" w:rsidRDefault="005A3B54" w:rsidP="005A3B54">
            <w:r>
              <w:t>Facilities</w:t>
            </w:r>
          </w:p>
        </w:tc>
        <w:tc>
          <w:tcPr>
            <w:tcW w:w="2991" w:type="dxa"/>
          </w:tcPr>
          <w:p w14:paraId="6A92CA0A" w14:textId="77777777" w:rsidR="005A3B54" w:rsidRDefault="005A3B54" w:rsidP="005A3B54"/>
        </w:tc>
        <w:tc>
          <w:tcPr>
            <w:tcW w:w="2773" w:type="dxa"/>
          </w:tcPr>
          <w:p w14:paraId="1C5DE13D" w14:textId="77777777" w:rsidR="005A3B54" w:rsidRDefault="005A3B54" w:rsidP="005A3B54"/>
        </w:tc>
      </w:tr>
      <w:tr w:rsidR="005A3B54" w14:paraId="15E7E009" w14:textId="77777777" w:rsidTr="00176E21">
        <w:trPr>
          <w:trHeight w:val="20"/>
        </w:trPr>
        <w:tc>
          <w:tcPr>
            <w:tcW w:w="2175" w:type="dxa"/>
          </w:tcPr>
          <w:p w14:paraId="1325D582" w14:textId="4F779F9F" w:rsidR="005A3B54" w:rsidRDefault="005A3B54" w:rsidP="005A3B54">
            <w:r>
              <w:t xml:space="preserve">Pests (bats, mice, </w:t>
            </w:r>
            <w:proofErr w:type="spellStart"/>
            <w:r>
              <w:t>etc</w:t>
            </w:r>
            <w:proofErr w:type="spellEnd"/>
            <w:r>
              <w:t>)</w:t>
            </w:r>
          </w:p>
        </w:tc>
        <w:tc>
          <w:tcPr>
            <w:tcW w:w="1146" w:type="dxa"/>
          </w:tcPr>
          <w:p w14:paraId="2D7C9134" w14:textId="2B3F648E" w:rsidR="005A3B54" w:rsidRDefault="005A3B54" w:rsidP="005A3B54">
            <w:r>
              <w:t>Facilities</w:t>
            </w:r>
          </w:p>
        </w:tc>
        <w:tc>
          <w:tcPr>
            <w:tcW w:w="2991" w:type="dxa"/>
          </w:tcPr>
          <w:p w14:paraId="5B858B04" w14:textId="77777777" w:rsidR="005A3B54" w:rsidRDefault="005A3B54" w:rsidP="005A3B54"/>
        </w:tc>
        <w:tc>
          <w:tcPr>
            <w:tcW w:w="2773" w:type="dxa"/>
          </w:tcPr>
          <w:p w14:paraId="2D32EE2C" w14:textId="77777777" w:rsidR="005A3B54" w:rsidRDefault="005A3B54" w:rsidP="005A3B54"/>
        </w:tc>
      </w:tr>
      <w:tr w:rsidR="005A3B54" w14:paraId="3EA78C62" w14:textId="77777777" w:rsidTr="00176E21">
        <w:trPr>
          <w:trHeight w:val="20"/>
        </w:trPr>
        <w:tc>
          <w:tcPr>
            <w:tcW w:w="2175" w:type="dxa"/>
          </w:tcPr>
          <w:p w14:paraId="63DCF7D6" w14:textId="4BE122F7" w:rsidR="005A3B54" w:rsidRDefault="005A3B54" w:rsidP="005A3B54">
            <w:r>
              <w:t>Card access install initiated by dept. or unit</w:t>
            </w:r>
          </w:p>
        </w:tc>
        <w:tc>
          <w:tcPr>
            <w:tcW w:w="1146" w:type="dxa"/>
          </w:tcPr>
          <w:p w14:paraId="2F1CC3A8" w14:textId="2210101A" w:rsidR="005A3B54" w:rsidRDefault="005A3B54" w:rsidP="005A3B54">
            <w:r w:rsidRPr="004A7D93">
              <w:t>Unit</w:t>
            </w:r>
          </w:p>
        </w:tc>
        <w:tc>
          <w:tcPr>
            <w:tcW w:w="2991" w:type="dxa"/>
          </w:tcPr>
          <w:p w14:paraId="4F32D670" w14:textId="77777777" w:rsidR="005A3B54" w:rsidRDefault="005A3B54" w:rsidP="005A3B54"/>
        </w:tc>
        <w:tc>
          <w:tcPr>
            <w:tcW w:w="2773" w:type="dxa"/>
          </w:tcPr>
          <w:p w14:paraId="6C597342" w14:textId="77777777" w:rsidR="005A3B54" w:rsidRDefault="005A3B54" w:rsidP="005A3B54"/>
        </w:tc>
      </w:tr>
      <w:tr w:rsidR="005A3B54" w14:paraId="1C5D98E2" w14:textId="77777777" w:rsidTr="00176E21">
        <w:trPr>
          <w:trHeight w:val="20"/>
        </w:trPr>
        <w:tc>
          <w:tcPr>
            <w:tcW w:w="2175" w:type="dxa"/>
          </w:tcPr>
          <w:p w14:paraId="1842C9BF" w14:textId="77571150" w:rsidR="005A3B54" w:rsidRDefault="005A3B54" w:rsidP="005A3B54">
            <w:r>
              <w:t>HVAC repairs</w:t>
            </w:r>
          </w:p>
        </w:tc>
        <w:tc>
          <w:tcPr>
            <w:tcW w:w="1146" w:type="dxa"/>
          </w:tcPr>
          <w:p w14:paraId="55426F2A" w14:textId="4FC4F276" w:rsidR="005A3B54" w:rsidRDefault="005A3B54" w:rsidP="005A3B54">
            <w:r>
              <w:t>Facilities</w:t>
            </w:r>
          </w:p>
        </w:tc>
        <w:tc>
          <w:tcPr>
            <w:tcW w:w="2991" w:type="dxa"/>
          </w:tcPr>
          <w:p w14:paraId="18375664" w14:textId="77777777" w:rsidR="005A3B54" w:rsidRDefault="005A3B54" w:rsidP="005A3B54"/>
        </w:tc>
        <w:tc>
          <w:tcPr>
            <w:tcW w:w="2773" w:type="dxa"/>
          </w:tcPr>
          <w:p w14:paraId="1DFA09FB" w14:textId="77777777" w:rsidR="005A3B54" w:rsidRDefault="005A3B54" w:rsidP="005A3B54"/>
        </w:tc>
      </w:tr>
      <w:tr w:rsidR="005A3B54" w14:paraId="25095B7A" w14:textId="77777777" w:rsidTr="00176E21">
        <w:trPr>
          <w:trHeight w:val="20"/>
        </w:trPr>
        <w:tc>
          <w:tcPr>
            <w:tcW w:w="2175" w:type="dxa"/>
            <w:tcBorders>
              <w:bottom w:val="single" w:sz="4" w:space="0" w:color="auto"/>
            </w:tcBorders>
          </w:tcPr>
          <w:p w14:paraId="7257F73E" w14:textId="395F0103" w:rsidR="005A3B54" w:rsidRDefault="005A3B54" w:rsidP="005A3B54">
            <w:r>
              <w:t>Hanging pictures/awards</w:t>
            </w:r>
          </w:p>
        </w:tc>
        <w:tc>
          <w:tcPr>
            <w:tcW w:w="1146" w:type="dxa"/>
            <w:tcBorders>
              <w:bottom w:val="single" w:sz="4" w:space="0" w:color="auto"/>
            </w:tcBorders>
          </w:tcPr>
          <w:p w14:paraId="33B4FFCF" w14:textId="1AAD91C8" w:rsidR="005A3B54" w:rsidRDefault="005A3B54" w:rsidP="005A3B54">
            <w:r>
              <w:t>Facilities</w:t>
            </w:r>
          </w:p>
        </w:tc>
        <w:tc>
          <w:tcPr>
            <w:tcW w:w="2991" w:type="dxa"/>
            <w:tcBorders>
              <w:bottom w:val="single" w:sz="4" w:space="0" w:color="auto"/>
            </w:tcBorders>
          </w:tcPr>
          <w:p w14:paraId="743BB08C" w14:textId="77777777" w:rsidR="005A3B54" w:rsidRDefault="005A3B54" w:rsidP="005A3B54"/>
        </w:tc>
        <w:tc>
          <w:tcPr>
            <w:tcW w:w="2773" w:type="dxa"/>
            <w:tcBorders>
              <w:bottom w:val="single" w:sz="4" w:space="0" w:color="auto"/>
            </w:tcBorders>
          </w:tcPr>
          <w:p w14:paraId="30F0E837" w14:textId="5B9D0452" w:rsidR="005A3B54" w:rsidRDefault="005A3B54" w:rsidP="005A3B54">
            <w:r>
              <w:t>Within reason</w:t>
            </w:r>
          </w:p>
        </w:tc>
      </w:tr>
      <w:tr w:rsidR="005A3B54" w14:paraId="668E35CF" w14:textId="77777777" w:rsidTr="00176E21">
        <w:trPr>
          <w:trHeight w:val="20"/>
        </w:trPr>
        <w:tc>
          <w:tcPr>
            <w:tcW w:w="2175" w:type="dxa"/>
            <w:tcBorders>
              <w:bottom w:val="single" w:sz="4" w:space="0" w:color="auto"/>
            </w:tcBorders>
          </w:tcPr>
          <w:p w14:paraId="0F63052B" w14:textId="155054AE" w:rsidR="005A3B54" w:rsidRDefault="005A3B54" w:rsidP="005A3B54">
            <w:r>
              <w:t>Signage</w:t>
            </w:r>
          </w:p>
        </w:tc>
        <w:tc>
          <w:tcPr>
            <w:tcW w:w="1146" w:type="dxa"/>
            <w:tcBorders>
              <w:bottom w:val="single" w:sz="4" w:space="0" w:color="auto"/>
            </w:tcBorders>
          </w:tcPr>
          <w:p w14:paraId="64CA0F1F" w14:textId="0EE22358" w:rsidR="005A3B54" w:rsidRDefault="005A3B54" w:rsidP="005A3B54">
            <w:r>
              <w:t>Facilities</w:t>
            </w:r>
          </w:p>
        </w:tc>
        <w:tc>
          <w:tcPr>
            <w:tcW w:w="2991" w:type="dxa"/>
            <w:tcBorders>
              <w:bottom w:val="single" w:sz="4" w:space="0" w:color="auto"/>
            </w:tcBorders>
          </w:tcPr>
          <w:p w14:paraId="36B3038F" w14:textId="7846499E" w:rsidR="005A3B54" w:rsidRDefault="005A3B54" w:rsidP="005A3B54">
            <w:r>
              <w:t>Non-standard office signs, posters, staff listings, staff pictures, signs without paper changeable content, etc.</w:t>
            </w:r>
          </w:p>
        </w:tc>
        <w:tc>
          <w:tcPr>
            <w:tcW w:w="2773" w:type="dxa"/>
            <w:tcBorders>
              <w:bottom w:val="single" w:sz="4" w:space="0" w:color="auto"/>
            </w:tcBorders>
          </w:tcPr>
          <w:p w14:paraId="0C9C62FD" w14:textId="3CCAB0ED" w:rsidR="005A3B54" w:rsidRDefault="005A3B54" w:rsidP="005A3B54"/>
        </w:tc>
      </w:tr>
      <w:tr w:rsidR="005A3B54" w14:paraId="07DFACB5" w14:textId="77777777" w:rsidTr="00176E21">
        <w:trPr>
          <w:trHeight w:val="20"/>
        </w:trPr>
        <w:tc>
          <w:tcPr>
            <w:tcW w:w="9085" w:type="dxa"/>
            <w:gridSpan w:val="4"/>
            <w:shd w:val="clear" w:color="auto" w:fill="B3E5A1" w:themeFill="accent6" w:themeFillTint="66"/>
          </w:tcPr>
          <w:p w14:paraId="24EBDF3B" w14:textId="106C95BA" w:rsidR="005A3B54" w:rsidRDefault="005A3B54" w:rsidP="005A3B54">
            <w:pPr>
              <w:pStyle w:val="Heading4"/>
            </w:pPr>
            <w:r>
              <w:t>Public Spaces</w:t>
            </w:r>
          </w:p>
        </w:tc>
      </w:tr>
      <w:tr w:rsidR="005A3B54" w14:paraId="1DDCAFB8" w14:textId="77777777" w:rsidTr="00176E21">
        <w:trPr>
          <w:trHeight w:val="20"/>
        </w:trPr>
        <w:tc>
          <w:tcPr>
            <w:tcW w:w="2175" w:type="dxa"/>
          </w:tcPr>
          <w:p w14:paraId="7190BD48" w14:textId="299CB108" w:rsidR="005A3B54" w:rsidRDefault="005A3B54" w:rsidP="005A3B54">
            <w:r>
              <w:t>Furniture</w:t>
            </w:r>
          </w:p>
        </w:tc>
        <w:tc>
          <w:tcPr>
            <w:tcW w:w="1146" w:type="dxa"/>
          </w:tcPr>
          <w:p w14:paraId="58BA5D1B" w14:textId="56177DD0" w:rsidR="005A3B54" w:rsidRDefault="005A3B54" w:rsidP="005A3B54">
            <w:r>
              <w:t>Facilities</w:t>
            </w:r>
          </w:p>
        </w:tc>
        <w:tc>
          <w:tcPr>
            <w:tcW w:w="2991" w:type="dxa"/>
          </w:tcPr>
          <w:p w14:paraId="15573296" w14:textId="77777777" w:rsidR="005A3B54" w:rsidRDefault="005A3B54" w:rsidP="005A3B54"/>
        </w:tc>
        <w:tc>
          <w:tcPr>
            <w:tcW w:w="2773" w:type="dxa"/>
          </w:tcPr>
          <w:p w14:paraId="4D3C502D" w14:textId="77777777" w:rsidR="005A3B54" w:rsidRDefault="005A3B54" w:rsidP="005A3B54"/>
        </w:tc>
      </w:tr>
      <w:tr w:rsidR="005A3B54" w14:paraId="3E6D911C" w14:textId="77777777" w:rsidTr="00176E21">
        <w:trPr>
          <w:trHeight w:val="20"/>
        </w:trPr>
        <w:tc>
          <w:tcPr>
            <w:tcW w:w="2175" w:type="dxa"/>
          </w:tcPr>
          <w:p w14:paraId="226917D5" w14:textId="14DF3DF2" w:rsidR="005A3B54" w:rsidRDefault="005A3B54" w:rsidP="005A3B54">
            <w:r>
              <w:t>Cleaning</w:t>
            </w:r>
          </w:p>
        </w:tc>
        <w:tc>
          <w:tcPr>
            <w:tcW w:w="1146" w:type="dxa"/>
          </w:tcPr>
          <w:p w14:paraId="34C40CAA" w14:textId="223F399E" w:rsidR="005A3B54" w:rsidRDefault="005A3B54" w:rsidP="005A3B54">
            <w:r>
              <w:t>Facilities</w:t>
            </w:r>
          </w:p>
        </w:tc>
        <w:tc>
          <w:tcPr>
            <w:tcW w:w="2991" w:type="dxa"/>
          </w:tcPr>
          <w:p w14:paraId="43993B61" w14:textId="77777777" w:rsidR="005A3B54" w:rsidRDefault="005A3B54" w:rsidP="005A3B54"/>
        </w:tc>
        <w:tc>
          <w:tcPr>
            <w:tcW w:w="2773" w:type="dxa"/>
          </w:tcPr>
          <w:p w14:paraId="6887D7C5" w14:textId="77777777" w:rsidR="005A3B54" w:rsidRDefault="005A3B54" w:rsidP="005A3B54"/>
        </w:tc>
      </w:tr>
      <w:tr w:rsidR="005A3B54" w14:paraId="444BBB84" w14:textId="77777777" w:rsidTr="00176E21">
        <w:trPr>
          <w:trHeight w:val="20"/>
        </w:trPr>
        <w:tc>
          <w:tcPr>
            <w:tcW w:w="2175" w:type="dxa"/>
            <w:tcBorders>
              <w:bottom w:val="single" w:sz="4" w:space="0" w:color="auto"/>
            </w:tcBorders>
          </w:tcPr>
          <w:p w14:paraId="5D8FEB33" w14:textId="78F615F1" w:rsidR="005A3B54" w:rsidRDefault="005A3B54" w:rsidP="005A3B54">
            <w:r>
              <w:t>Remodeling</w:t>
            </w:r>
          </w:p>
        </w:tc>
        <w:tc>
          <w:tcPr>
            <w:tcW w:w="1146" w:type="dxa"/>
            <w:tcBorders>
              <w:bottom w:val="single" w:sz="4" w:space="0" w:color="auto"/>
            </w:tcBorders>
          </w:tcPr>
          <w:p w14:paraId="753EFBA2" w14:textId="11D79129" w:rsidR="005A3B54" w:rsidRDefault="005A3B54" w:rsidP="005A3B54">
            <w:r>
              <w:t>Facilities</w:t>
            </w:r>
          </w:p>
        </w:tc>
        <w:tc>
          <w:tcPr>
            <w:tcW w:w="2991" w:type="dxa"/>
            <w:tcBorders>
              <w:bottom w:val="single" w:sz="4" w:space="0" w:color="auto"/>
            </w:tcBorders>
          </w:tcPr>
          <w:p w14:paraId="53DFDD81" w14:textId="77777777" w:rsidR="005A3B54" w:rsidRDefault="005A3B54" w:rsidP="005A3B54"/>
        </w:tc>
        <w:tc>
          <w:tcPr>
            <w:tcW w:w="2773" w:type="dxa"/>
            <w:tcBorders>
              <w:bottom w:val="single" w:sz="4" w:space="0" w:color="auto"/>
            </w:tcBorders>
          </w:tcPr>
          <w:p w14:paraId="4E41905A" w14:textId="77777777" w:rsidR="005A3B54" w:rsidRDefault="005A3B54" w:rsidP="005A3B54"/>
        </w:tc>
      </w:tr>
      <w:tr w:rsidR="005A3B54" w14:paraId="34F670FD" w14:textId="77777777" w:rsidTr="00176E21">
        <w:trPr>
          <w:trHeight w:val="20"/>
        </w:trPr>
        <w:tc>
          <w:tcPr>
            <w:tcW w:w="9085" w:type="dxa"/>
            <w:gridSpan w:val="4"/>
            <w:shd w:val="clear" w:color="auto" w:fill="B3E5A1" w:themeFill="accent6" w:themeFillTint="66"/>
          </w:tcPr>
          <w:p w14:paraId="5F3FFDBF" w14:textId="04026B92" w:rsidR="005A3B54" w:rsidRDefault="005A3B54" w:rsidP="005A3B54">
            <w:pPr>
              <w:pStyle w:val="Heading4"/>
            </w:pPr>
            <w:r>
              <w:t>Unit or Department Events</w:t>
            </w:r>
          </w:p>
        </w:tc>
      </w:tr>
      <w:tr w:rsidR="005A3B54" w14:paraId="3178CA25" w14:textId="77777777" w:rsidTr="00176E21">
        <w:trPr>
          <w:trHeight w:val="20"/>
        </w:trPr>
        <w:tc>
          <w:tcPr>
            <w:tcW w:w="2175" w:type="dxa"/>
          </w:tcPr>
          <w:p w14:paraId="7ECB9E69" w14:textId="4D96FEE1" w:rsidR="005A3B54" w:rsidRDefault="005A3B54" w:rsidP="005A3B54">
            <w:r>
              <w:t>HVAC requests</w:t>
            </w:r>
          </w:p>
        </w:tc>
        <w:tc>
          <w:tcPr>
            <w:tcW w:w="1146" w:type="dxa"/>
          </w:tcPr>
          <w:p w14:paraId="648913E2" w14:textId="7624BE80" w:rsidR="005A3B54" w:rsidRPr="004A7D93" w:rsidRDefault="005A3B54" w:rsidP="005A3B54">
            <w:r w:rsidRPr="004A7D93">
              <w:t>Unit</w:t>
            </w:r>
          </w:p>
        </w:tc>
        <w:tc>
          <w:tcPr>
            <w:tcW w:w="2991" w:type="dxa"/>
          </w:tcPr>
          <w:p w14:paraId="3E2D64DB" w14:textId="77777777" w:rsidR="005A3B54" w:rsidRDefault="005A3B54" w:rsidP="005A3B54"/>
        </w:tc>
        <w:tc>
          <w:tcPr>
            <w:tcW w:w="2773" w:type="dxa"/>
          </w:tcPr>
          <w:p w14:paraId="6E82F834" w14:textId="77777777" w:rsidR="005A3B54" w:rsidRDefault="005A3B54" w:rsidP="005A3B54"/>
        </w:tc>
      </w:tr>
      <w:tr w:rsidR="005A3B54" w14:paraId="2D29B074" w14:textId="77777777" w:rsidTr="00176E21">
        <w:trPr>
          <w:trHeight w:val="20"/>
        </w:trPr>
        <w:tc>
          <w:tcPr>
            <w:tcW w:w="2175" w:type="dxa"/>
          </w:tcPr>
          <w:p w14:paraId="790FBE96" w14:textId="1BAB206B" w:rsidR="005A3B54" w:rsidRDefault="005A3B54" w:rsidP="005A3B54">
            <w:r>
              <w:t>Furniture</w:t>
            </w:r>
          </w:p>
        </w:tc>
        <w:tc>
          <w:tcPr>
            <w:tcW w:w="1146" w:type="dxa"/>
          </w:tcPr>
          <w:p w14:paraId="6C0F753A" w14:textId="60338180" w:rsidR="005A3B54" w:rsidRPr="004A7D93" w:rsidRDefault="005A3B54" w:rsidP="005A3B54">
            <w:r w:rsidRPr="004A7D93">
              <w:t>Unit</w:t>
            </w:r>
          </w:p>
        </w:tc>
        <w:tc>
          <w:tcPr>
            <w:tcW w:w="2991" w:type="dxa"/>
          </w:tcPr>
          <w:p w14:paraId="36BCB970" w14:textId="77777777" w:rsidR="005A3B54" w:rsidRDefault="005A3B54" w:rsidP="005A3B54"/>
        </w:tc>
        <w:tc>
          <w:tcPr>
            <w:tcW w:w="2773" w:type="dxa"/>
          </w:tcPr>
          <w:p w14:paraId="0122BFEE" w14:textId="77777777" w:rsidR="005A3B54" w:rsidRDefault="005A3B54" w:rsidP="005A3B54"/>
        </w:tc>
      </w:tr>
      <w:tr w:rsidR="005A3B54" w14:paraId="1D9E7850" w14:textId="77777777" w:rsidTr="00176E21">
        <w:trPr>
          <w:trHeight w:val="20"/>
        </w:trPr>
        <w:tc>
          <w:tcPr>
            <w:tcW w:w="2175" w:type="dxa"/>
          </w:tcPr>
          <w:p w14:paraId="6971EE57" w14:textId="4228F170" w:rsidR="005A3B54" w:rsidRDefault="005A3B54" w:rsidP="005A3B54">
            <w:r>
              <w:t>Setup</w:t>
            </w:r>
          </w:p>
        </w:tc>
        <w:tc>
          <w:tcPr>
            <w:tcW w:w="1146" w:type="dxa"/>
          </w:tcPr>
          <w:p w14:paraId="52D16249" w14:textId="070CB017" w:rsidR="005A3B54" w:rsidRPr="004A7D93" w:rsidRDefault="005A3B54" w:rsidP="005A3B54">
            <w:r w:rsidRPr="004A7D93">
              <w:t>Unit</w:t>
            </w:r>
          </w:p>
        </w:tc>
        <w:tc>
          <w:tcPr>
            <w:tcW w:w="2991" w:type="dxa"/>
          </w:tcPr>
          <w:p w14:paraId="35BFC07B" w14:textId="77777777" w:rsidR="005A3B54" w:rsidRDefault="005A3B54" w:rsidP="005A3B54"/>
        </w:tc>
        <w:tc>
          <w:tcPr>
            <w:tcW w:w="2773" w:type="dxa"/>
          </w:tcPr>
          <w:p w14:paraId="184802C2" w14:textId="77777777" w:rsidR="005A3B54" w:rsidRDefault="005A3B54" w:rsidP="005A3B54"/>
        </w:tc>
      </w:tr>
      <w:tr w:rsidR="005A3B54" w14:paraId="7E54AD2A" w14:textId="77777777" w:rsidTr="00176E21">
        <w:trPr>
          <w:trHeight w:val="20"/>
        </w:trPr>
        <w:tc>
          <w:tcPr>
            <w:tcW w:w="2175" w:type="dxa"/>
          </w:tcPr>
          <w:p w14:paraId="64FFD849" w14:textId="3A51E54F" w:rsidR="005A3B54" w:rsidRDefault="005A3B54" w:rsidP="005A3B54">
            <w:r>
              <w:t>Take down</w:t>
            </w:r>
          </w:p>
        </w:tc>
        <w:tc>
          <w:tcPr>
            <w:tcW w:w="1146" w:type="dxa"/>
          </w:tcPr>
          <w:p w14:paraId="46194F05" w14:textId="09F5FA82" w:rsidR="005A3B54" w:rsidRPr="004A7D93" w:rsidRDefault="005A3B54" w:rsidP="005A3B54">
            <w:r w:rsidRPr="004A7D93">
              <w:t>Unit</w:t>
            </w:r>
          </w:p>
        </w:tc>
        <w:tc>
          <w:tcPr>
            <w:tcW w:w="2991" w:type="dxa"/>
          </w:tcPr>
          <w:p w14:paraId="20C77AA2" w14:textId="77777777" w:rsidR="005A3B54" w:rsidRDefault="005A3B54" w:rsidP="005A3B54"/>
        </w:tc>
        <w:tc>
          <w:tcPr>
            <w:tcW w:w="2773" w:type="dxa"/>
          </w:tcPr>
          <w:p w14:paraId="1FB859AB" w14:textId="77777777" w:rsidR="005A3B54" w:rsidRDefault="005A3B54" w:rsidP="005A3B54"/>
        </w:tc>
      </w:tr>
      <w:tr w:rsidR="005A3B54" w14:paraId="2C23E56B" w14:textId="77777777" w:rsidTr="00176E21">
        <w:trPr>
          <w:trHeight w:val="20"/>
        </w:trPr>
        <w:tc>
          <w:tcPr>
            <w:tcW w:w="2175" w:type="dxa"/>
            <w:tcBorders>
              <w:bottom w:val="single" w:sz="4" w:space="0" w:color="auto"/>
            </w:tcBorders>
          </w:tcPr>
          <w:p w14:paraId="691915C9" w14:textId="42D7551E" w:rsidR="005A3B54" w:rsidRDefault="005A3B54" w:rsidP="005A3B54">
            <w:r>
              <w:t>Clean up</w:t>
            </w:r>
          </w:p>
        </w:tc>
        <w:tc>
          <w:tcPr>
            <w:tcW w:w="1146" w:type="dxa"/>
            <w:tcBorders>
              <w:bottom w:val="single" w:sz="4" w:space="0" w:color="auto"/>
            </w:tcBorders>
          </w:tcPr>
          <w:p w14:paraId="0265BC54" w14:textId="2C322427" w:rsidR="005A3B54" w:rsidRPr="004A7D93" w:rsidRDefault="005A3B54" w:rsidP="005A3B54">
            <w:r w:rsidRPr="004A7D93">
              <w:t>Unit</w:t>
            </w:r>
          </w:p>
        </w:tc>
        <w:tc>
          <w:tcPr>
            <w:tcW w:w="2991" w:type="dxa"/>
            <w:tcBorders>
              <w:bottom w:val="single" w:sz="4" w:space="0" w:color="auto"/>
            </w:tcBorders>
          </w:tcPr>
          <w:p w14:paraId="77DC0C50" w14:textId="77777777" w:rsidR="005A3B54" w:rsidRDefault="005A3B54" w:rsidP="005A3B54"/>
        </w:tc>
        <w:tc>
          <w:tcPr>
            <w:tcW w:w="2773" w:type="dxa"/>
            <w:tcBorders>
              <w:bottom w:val="single" w:sz="4" w:space="0" w:color="auto"/>
            </w:tcBorders>
          </w:tcPr>
          <w:p w14:paraId="4FD1512C" w14:textId="77777777" w:rsidR="005A3B54" w:rsidRDefault="005A3B54" w:rsidP="005A3B54"/>
        </w:tc>
      </w:tr>
    </w:tbl>
    <w:p w14:paraId="4ED33CE9" w14:textId="77777777" w:rsidR="005A3B54" w:rsidRDefault="005A3B54">
      <w:r>
        <w:br w:type="page"/>
      </w:r>
    </w:p>
    <w:tbl>
      <w:tblPr>
        <w:tblStyle w:val="TableGrid"/>
        <w:tblW w:w="9085" w:type="dxa"/>
        <w:tblLook w:val="04A0" w:firstRow="1" w:lastRow="0" w:firstColumn="1" w:lastColumn="0" w:noHBand="0" w:noVBand="1"/>
      </w:tblPr>
      <w:tblGrid>
        <w:gridCol w:w="2175"/>
        <w:gridCol w:w="1146"/>
        <w:gridCol w:w="2991"/>
        <w:gridCol w:w="2773"/>
      </w:tblGrid>
      <w:tr w:rsidR="005A3B54" w14:paraId="3D481A3E" w14:textId="77777777" w:rsidTr="005A3B54">
        <w:trPr>
          <w:trHeight w:val="20"/>
        </w:trPr>
        <w:tc>
          <w:tcPr>
            <w:tcW w:w="2175" w:type="dxa"/>
            <w:tcBorders>
              <w:bottom w:val="single" w:sz="4" w:space="0" w:color="auto"/>
            </w:tcBorders>
            <w:shd w:val="clear" w:color="auto" w:fill="E8E8E8" w:themeFill="background2"/>
          </w:tcPr>
          <w:p w14:paraId="5C264A75" w14:textId="37ABA484" w:rsidR="005A3B54" w:rsidRDefault="005A3B54" w:rsidP="005A3B54">
            <w:pPr>
              <w:pStyle w:val="Heading3"/>
            </w:pPr>
            <w:r>
              <w:lastRenderedPageBreak/>
              <w:t>Topic</w:t>
            </w:r>
          </w:p>
        </w:tc>
        <w:tc>
          <w:tcPr>
            <w:tcW w:w="1146" w:type="dxa"/>
            <w:tcBorders>
              <w:bottom w:val="single" w:sz="4" w:space="0" w:color="auto"/>
            </w:tcBorders>
            <w:shd w:val="clear" w:color="auto" w:fill="E8E8E8" w:themeFill="background2"/>
          </w:tcPr>
          <w:p w14:paraId="440347A4" w14:textId="18397768" w:rsidR="005A3B54" w:rsidRPr="004A7D93" w:rsidRDefault="005A3B54" w:rsidP="005A3B54">
            <w:pPr>
              <w:pStyle w:val="Heading3"/>
            </w:pPr>
            <w:r>
              <w:t>Resp.</w:t>
            </w:r>
          </w:p>
        </w:tc>
        <w:tc>
          <w:tcPr>
            <w:tcW w:w="2991" w:type="dxa"/>
            <w:tcBorders>
              <w:bottom w:val="single" w:sz="4" w:space="0" w:color="auto"/>
            </w:tcBorders>
            <w:shd w:val="clear" w:color="auto" w:fill="E8E8E8" w:themeFill="background2"/>
          </w:tcPr>
          <w:p w14:paraId="4CE02FF3" w14:textId="6FA68D65" w:rsidR="005A3B54" w:rsidRDefault="005A3B54" w:rsidP="005A3B54">
            <w:pPr>
              <w:pStyle w:val="Heading3"/>
            </w:pPr>
            <w:r>
              <w:t>Exceptions</w:t>
            </w:r>
          </w:p>
        </w:tc>
        <w:tc>
          <w:tcPr>
            <w:tcW w:w="2773" w:type="dxa"/>
            <w:tcBorders>
              <w:bottom w:val="single" w:sz="4" w:space="0" w:color="auto"/>
            </w:tcBorders>
            <w:shd w:val="clear" w:color="auto" w:fill="E8E8E8" w:themeFill="background2"/>
          </w:tcPr>
          <w:p w14:paraId="4F9C6128" w14:textId="638B59DE" w:rsidR="005A3B54" w:rsidRDefault="005A3B54" w:rsidP="005A3B54">
            <w:pPr>
              <w:pStyle w:val="Heading3"/>
            </w:pPr>
            <w:r>
              <w:t>Notes</w:t>
            </w:r>
          </w:p>
        </w:tc>
      </w:tr>
      <w:tr w:rsidR="005A3B54" w14:paraId="18D9CBA0" w14:textId="77777777" w:rsidTr="00176E21">
        <w:trPr>
          <w:trHeight w:val="20"/>
        </w:trPr>
        <w:tc>
          <w:tcPr>
            <w:tcW w:w="9085" w:type="dxa"/>
            <w:gridSpan w:val="4"/>
            <w:shd w:val="clear" w:color="auto" w:fill="B3E5A1" w:themeFill="accent6" w:themeFillTint="66"/>
          </w:tcPr>
          <w:p w14:paraId="3B2F18DE" w14:textId="5723C329" w:rsidR="005A3B54" w:rsidRDefault="005A3B54" w:rsidP="005A3B54">
            <w:pPr>
              <w:pStyle w:val="Heading4"/>
            </w:pPr>
            <w:r>
              <w:t>Parking</w:t>
            </w:r>
          </w:p>
        </w:tc>
      </w:tr>
      <w:tr w:rsidR="005A3B54" w14:paraId="3F94A340" w14:textId="77777777" w:rsidTr="00176E21">
        <w:trPr>
          <w:trHeight w:val="20"/>
        </w:trPr>
        <w:tc>
          <w:tcPr>
            <w:tcW w:w="2175" w:type="dxa"/>
          </w:tcPr>
          <w:p w14:paraId="13634636" w14:textId="7E70A9BC" w:rsidR="005A3B54" w:rsidRDefault="005A3B54" w:rsidP="005A3B54">
            <w:r>
              <w:t>Guest permits</w:t>
            </w:r>
          </w:p>
        </w:tc>
        <w:tc>
          <w:tcPr>
            <w:tcW w:w="1146" w:type="dxa"/>
          </w:tcPr>
          <w:p w14:paraId="62893366" w14:textId="4A3917C7" w:rsidR="005A3B54" w:rsidRPr="004A7D93" w:rsidRDefault="005A3B54" w:rsidP="005A3B54">
            <w:r w:rsidRPr="004A7D93">
              <w:t>Unit</w:t>
            </w:r>
          </w:p>
        </w:tc>
        <w:tc>
          <w:tcPr>
            <w:tcW w:w="2991" w:type="dxa"/>
          </w:tcPr>
          <w:p w14:paraId="56B9A907" w14:textId="77777777" w:rsidR="005A3B54" w:rsidRDefault="005A3B54" w:rsidP="005A3B54"/>
        </w:tc>
        <w:tc>
          <w:tcPr>
            <w:tcW w:w="2773" w:type="dxa"/>
          </w:tcPr>
          <w:p w14:paraId="2B9649A9" w14:textId="77777777" w:rsidR="005A3B54" w:rsidRDefault="005A3B54" w:rsidP="005A3B54"/>
        </w:tc>
      </w:tr>
      <w:tr w:rsidR="005A3B54" w14:paraId="2A9D031F" w14:textId="77777777" w:rsidTr="00176E21">
        <w:trPr>
          <w:trHeight w:val="20"/>
        </w:trPr>
        <w:tc>
          <w:tcPr>
            <w:tcW w:w="2175" w:type="dxa"/>
          </w:tcPr>
          <w:p w14:paraId="027BFF1D" w14:textId="0F0EE717" w:rsidR="005A3B54" w:rsidRDefault="005A3B54" w:rsidP="005A3B54">
            <w:r>
              <w:t>Parking lot issues including enforcement</w:t>
            </w:r>
          </w:p>
        </w:tc>
        <w:tc>
          <w:tcPr>
            <w:tcW w:w="1146" w:type="dxa"/>
          </w:tcPr>
          <w:p w14:paraId="69F69BD4" w14:textId="38D7E0B6" w:rsidR="005A3B54" w:rsidRDefault="005A3B54" w:rsidP="005A3B54"/>
        </w:tc>
        <w:tc>
          <w:tcPr>
            <w:tcW w:w="2991" w:type="dxa"/>
          </w:tcPr>
          <w:p w14:paraId="038C603A" w14:textId="77777777" w:rsidR="005A3B54" w:rsidRDefault="005A3B54" w:rsidP="005A3B54"/>
        </w:tc>
        <w:tc>
          <w:tcPr>
            <w:tcW w:w="2773" w:type="dxa"/>
          </w:tcPr>
          <w:p w14:paraId="3B54430C" w14:textId="70F21E7D" w:rsidR="005A3B54" w:rsidRDefault="005A3B54" w:rsidP="005A3B54">
            <w:r>
              <w:t>Parking office 517-355-8440</w:t>
            </w:r>
          </w:p>
        </w:tc>
      </w:tr>
    </w:tbl>
    <w:p w14:paraId="7068F215" w14:textId="6262E2DB" w:rsidR="0062154E" w:rsidRPr="0062154E" w:rsidRDefault="0062154E" w:rsidP="0062154E"/>
    <w:sectPr w:rsidR="0062154E" w:rsidRPr="0062154E" w:rsidSect="00D82AC0">
      <w:head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6F17" w14:textId="77777777" w:rsidR="00B758E3" w:rsidRDefault="00B758E3" w:rsidP="00116FEE">
      <w:r>
        <w:separator/>
      </w:r>
    </w:p>
  </w:endnote>
  <w:endnote w:type="continuationSeparator" w:id="0">
    <w:p w14:paraId="761E8F66" w14:textId="77777777" w:rsidR="00B758E3" w:rsidRDefault="00B758E3" w:rsidP="00116FEE">
      <w:r>
        <w:continuationSeparator/>
      </w:r>
    </w:p>
  </w:endnote>
  <w:endnote w:type="continuationNotice" w:id="1">
    <w:p w14:paraId="26515B50" w14:textId="77777777" w:rsidR="00B758E3" w:rsidRDefault="00B75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27BC" w14:textId="77777777" w:rsidR="00B758E3" w:rsidRDefault="00B758E3" w:rsidP="00116FEE">
      <w:r>
        <w:separator/>
      </w:r>
    </w:p>
  </w:footnote>
  <w:footnote w:type="continuationSeparator" w:id="0">
    <w:p w14:paraId="2773EBC1" w14:textId="77777777" w:rsidR="00B758E3" w:rsidRDefault="00B758E3" w:rsidP="00116FEE">
      <w:r>
        <w:continuationSeparator/>
      </w:r>
    </w:p>
  </w:footnote>
  <w:footnote w:type="continuationNotice" w:id="1">
    <w:p w14:paraId="0FD3B9AE" w14:textId="77777777" w:rsidR="00B758E3" w:rsidRDefault="00B75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457B" w14:textId="5BB32208" w:rsidR="00116FEE" w:rsidRDefault="000000D8">
    <w:pPr>
      <w:pStyle w:val="Header"/>
    </w:pPr>
    <w:r>
      <w:rPr>
        <w:noProof/>
      </w:rPr>
    </w:r>
    <w:r w:rsidR="000000D8">
      <w:rPr>
        <w:noProof/>
      </w:rPr>
      <w:pict w14:anchorId="022D7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58.85pt;height:200.7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B1D"/>
    <w:multiLevelType w:val="hybridMultilevel"/>
    <w:tmpl w:val="685C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6B52"/>
    <w:multiLevelType w:val="hybridMultilevel"/>
    <w:tmpl w:val="E5A8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A52DA"/>
    <w:multiLevelType w:val="hybridMultilevel"/>
    <w:tmpl w:val="70AA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E375D"/>
    <w:multiLevelType w:val="hybridMultilevel"/>
    <w:tmpl w:val="367C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E07F8"/>
    <w:multiLevelType w:val="hybridMultilevel"/>
    <w:tmpl w:val="C88A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C0F0E"/>
    <w:multiLevelType w:val="hybridMultilevel"/>
    <w:tmpl w:val="973A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853C1"/>
    <w:multiLevelType w:val="hybridMultilevel"/>
    <w:tmpl w:val="CB506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505CF"/>
    <w:multiLevelType w:val="hybridMultilevel"/>
    <w:tmpl w:val="25D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42770"/>
    <w:multiLevelType w:val="hybridMultilevel"/>
    <w:tmpl w:val="496C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10BBC"/>
    <w:multiLevelType w:val="hybridMultilevel"/>
    <w:tmpl w:val="CFF2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852876">
    <w:abstractNumId w:val="2"/>
  </w:num>
  <w:num w:numId="2" w16cid:durableId="1922055694">
    <w:abstractNumId w:val="7"/>
  </w:num>
  <w:num w:numId="3" w16cid:durableId="260526834">
    <w:abstractNumId w:val="8"/>
  </w:num>
  <w:num w:numId="4" w16cid:durableId="1954242957">
    <w:abstractNumId w:val="6"/>
  </w:num>
  <w:num w:numId="5" w16cid:durableId="1483542366">
    <w:abstractNumId w:val="5"/>
  </w:num>
  <w:num w:numId="6" w16cid:durableId="1055737273">
    <w:abstractNumId w:val="0"/>
  </w:num>
  <w:num w:numId="7" w16cid:durableId="340621408">
    <w:abstractNumId w:val="9"/>
  </w:num>
  <w:num w:numId="8" w16cid:durableId="2033069570">
    <w:abstractNumId w:val="4"/>
  </w:num>
  <w:num w:numId="9" w16cid:durableId="1619024441">
    <w:abstractNumId w:val="1"/>
  </w:num>
  <w:num w:numId="10" w16cid:durableId="233663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4B"/>
    <w:rsid w:val="000000D8"/>
    <w:rsid w:val="00000BB1"/>
    <w:rsid w:val="0000177E"/>
    <w:rsid w:val="0001168D"/>
    <w:rsid w:val="000178EB"/>
    <w:rsid w:val="00021A57"/>
    <w:rsid w:val="00022D17"/>
    <w:rsid w:val="00024673"/>
    <w:rsid w:val="000250D5"/>
    <w:rsid w:val="00026769"/>
    <w:rsid w:val="000328BB"/>
    <w:rsid w:val="00033EC4"/>
    <w:rsid w:val="00035697"/>
    <w:rsid w:val="000408A7"/>
    <w:rsid w:val="00041569"/>
    <w:rsid w:val="00044CE8"/>
    <w:rsid w:val="00046B1E"/>
    <w:rsid w:val="00050239"/>
    <w:rsid w:val="00050373"/>
    <w:rsid w:val="00054A80"/>
    <w:rsid w:val="00055A43"/>
    <w:rsid w:val="000606FD"/>
    <w:rsid w:val="0006173C"/>
    <w:rsid w:val="0006315E"/>
    <w:rsid w:val="0006665F"/>
    <w:rsid w:val="00074C85"/>
    <w:rsid w:val="00080CD0"/>
    <w:rsid w:val="00081D6E"/>
    <w:rsid w:val="00091A66"/>
    <w:rsid w:val="00095735"/>
    <w:rsid w:val="000A171E"/>
    <w:rsid w:val="000A78F1"/>
    <w:rsid w:val="000B5864"/>
    <w:rsid w:val="000B6F93"/>
    <w:rsid w:val="000B7C21"/>
    <w:rsid w:val="000C0A77"/>
    <w:rsid w:val="000C4A1D"/>
    <w:rsid w:val="000C5D89"/>
    <w:rsid w:val="000D2BB6"/>
    <w:rsid w:val="000D5482"/>
    <w:rsid w:val="000D5DD9"/>
    <w:rsid w:val="000D63A7"/>
    <w:rsid w:val="000E175E"/>
    <w:rsid w:val="000E382F"/>
    <w:rsid w:val="000F55AC"/>
    <w:rsid w:val="000F58B4"/>
    <w:rsid w:val="000F5D23"/>
    <w:rsid w:val="000F772E"/>
    <w:rsid w:val="0010496D"/>
    <w:rsid w:val="001050C6"/>
    <w:rsid w:val="00116DF9"/>
    <w:rsid w:val="00116FEE"/>
    <w:rsid w:val="001171D9"/>
    <w:rsid w:val="00125B8B"/>
    <w:rsid w:val="00130643"/>
    <w:rsid w:val="0013212D"/>
    <w:rsid w:val="0014186A"/>
    <w:rsid w:val="00142B87"/>
    <w:rsid w:val="001442E4"/>
    <w:rsid w:val="00147FE1"/>
    <w:rsid w:val="00150CCA"/>
    <w:rsid w:val="00152904"/>
    <w:rsid w:val="00160AAD"/>
    <w:rsid w:val="001647F8"/>
    <w:rsid w:val="0016543A"/>
    <w:rsid w:val="00165704"/>
    <w:rsid w:val="001669B7"/>
    <w:rsid w:val="00171348"/>
    <w:rsid w:val="0017446A"/>
    <w:rsid w:val="00175132"/>
    <w:rsid w:val="00176E21"/>
    <w:rsid w:val="00183DD8"/>
    <w:rsid w:val="001845CD"/>
    <w:rsid w:val="00187A97"/>
    <w:rsid w:val="00194FC7"/>
    <w:rsid w:val="001A07ED"/>
    <w:rsid w:val="001A7DC2"/>
    <w:rsid w:val="001A7F3F"/>
    <w:rsid w:val="001B3867"/>
    <w:rsid w:val="001C3409"/>
    <w:rsid w:val="001C4573"/>
    <w:rsid w:val="001C5144"/>
    <w:rsid w:val="001C573F"/>
    <w:rsid w:val="001C5C56"/>
    <w:rsid w:val="001D06C8"/>
    <w:rsid w:val="001D5FAE"/>
    <w:rsid w:val="001E53B8"/>
    <w:rsid w:val="0020129C"/>
    <w:rsid w:val="0020134C"/>
    <w:rsid w:val="002141EC"/>
    <w:rsid w:val="0022164E"/>
    <w:rsid w:val="00223EA9"/>
    <w:rsid w:val="00230840"/>
    <w:rsid w:val="00236733"/>
    <w:rsid w:val="002375E2"/>
    <w:rsid w:val="002453B2"/>
    <w:rsid w:val="00245458"/>
    <w:rsid w:val="002502FE"/>
    <w:rsid w:val="00251D48"/>
    <w:rsid w:val="00263027"/>
    <w:rsid w:val="002648BD"/>
    <w:rsid w:val="00275B31"/>
    <w:rsid w:val="00283141"/>
    <w:rsid w:val="00294C7B"/>
    <w:rsid w:val="002A4675"/>
    <w:rsid w:val="002B281D"/>
    <w:rsid w:val="002B4A24"/>
    <w:rsid w:val="002B5BDA"/>
    <w:rsid w:val="002C282D"/>
    <w:rsid w:val="002C5AE3"/>
    <w:rsid w:val="002C790E"/>
    <w:rsid w:val="002D6CC0"/>
    <w:rsid w:val="002E1CD5"/>
    <w:rsid w:val="002E6B40"/>
    <w:rsid w:val="002F1BE8"/>
    <w:rsid w:val="002F5032"/>
    <w:rsid w:val="00301F10"/>
    <w:rsid w:val="00301F97"/>
    <w:rsid w:val="00317D09"/>
    <w:rsid w:val="0033125D"/>
    <w:rsid w:val="00332056"/>
    <w:rsid w:val="00333E7C"/>
    <w:rsid w:val="00347E35"/>
    <w:rsid w:val="00356025"/>
    <w:rsid w:val="00360D78"/>
    <w:rsid w:val="003616EC"/>
    <w:rsid w:val="00386739"/>
    <w:rsid w:val="0038703C"/>
    <w:rsid w:val="00387069"/>
    <w:rsid w:val="00393C3B"/>
    <w:rsid w:val="00396F53"/>
    <w:rsid w:val="003A30B4"/>
    <w:rsid w:val="003A44FE"/>
    <w:rsid w:val="003B06B5"/>
    <w:rsid w:val="003B6128"/>
    <w:rsid w:val="003C0639"/>
    <w:rsid w:val="003C0918"/>
    <w:rsid w:val="003C3D9F"/>
    <w:rsid w:val="003C58D5"/>
    <w:rsid w:val="003F37C7"/>
    <w:rsid w:val="003F594B"/>
    <w:rsid w:val="003F6FA1"/>
    <w:rsid w:val="003F75E8"/>
    <w:rsid w:val="00407093"/>
    <w:rsid w:val="0041368D"/>
    <w:rsid w:val="00414A14"/>
    <w:rsid w:val="004258E4"/>
    <w:rsid w:val="00430289"/>
    <w:rsid w:val="004322DF"/>
    <w:rsid w:val="00436E2E"/>
    <w:rsid w:val="004444C0"/>
    <w:rsid w:val="00444BBF"/>
    <w:rsid w:val="004467C5"/>
    <w:rsid w:val="00452423"/>
    <w:rsid w:val="004605C5"/>
    <w:rsid w:val="00461AC8"/>
    <w:rsid w:val="004620CF"/>
    <w:rsid w:val="00462753"/>
    <w:rsid w:val="00463373"/>
    <w:rsid w:val="0046459E"/>
    <w:rsid w:val="00464B15"/>
    <w:rsid w:val="00464D8C"/>
    <w:rsid w:val="00466A61"/>
    <w:rsid w:val="00467564"/>
    <w:rsid w:val="00467A79"/>
    <w:rsid w:val="0049058A"/>
    <w:rsid w:val="004A57C0"/>
    <w:rsid w:val="004A6CAA"/>
    <w:rsid w:val="004A7D93"/>
    <w:rsid w:val="004B1758"/>
    <w:rsid w:val="004B2B7C"/>
    <w:rsid w:val="004B69F0"/>
    <w:rsid w:val="004C2A1C"/>
    <w:rsid w:val="004C4C50"/>
    <w:rsid w:val="004D1D7D"/>
    <w:rsid w:val="004D2A66"/>
    <w:rsid w:val="004D4320"/>
    <w:rsid w:val="004D6FF9"/>
    <w:rsid w:val="004E0E2F"/>
    <w:rsid w:val="004F03DE"/>
    <w:rsid w:val="004F0A13"/>
    <w:rsid w:val="004F4EDA"/>
    <w:rsid w:val="004F7D8F"/>
    <w:rsid w:val="00500CC4"/>
    <w:rsid w:val="005054A6"/>
    <w:rsid w:val="00515F70"/>
    <w:rsid w:val="005170F1"/>
    <w:rsid w:val="00523675"/>
    <w:rsid w:val="00523D26"/>
    <w:rsid w:val="00534CD0"/>
    <w:rsid w:val="005435BB"/>
    <w:rsid w:val="0054564A"/>
    <w:rsid w:val="0055425B"/>
    <w:rsid w:val="00557C0D"/>
    <w:rsid w:val="005619C6"/>
    <w:rsid w:val="00562212"/>
    <w:rsid w:val="00562B6B"/>
    <w:rsid w:val="005652AF"/>
    <w:rsid w:val="00573A6D"/>
    <w:rsid w:val="00573BFB"/>
    <w:rsid w:val="005744F8"/>
    <w:rsid w:val="00574B9E"/>
    <w:rsid w:val="00580063"/>
    <w:rsid w:val="00581487"/>
    <w:rsid w:val="00584FAE"/>
    <w:rsid w:val="005A2BDF"/>
    <w:rsid w:val="005A3B54"/>
    <w:rsid w:val="005B4A2F"/>
    <w:rsid w:val="005C3A7F"/>
    <w:rsid w:val="005C78F9"/>
    <w:rsid w:val="005D0D78"/>
    <w:rsid w:val="005D272F"/>
    <w:rsid w:val="005D2FEE"/>
    <w:rsid w:val="005D42A7"/>
    <w:rsid w:val="005E02B6"/>
    <w:rsid w:val="005E18AA"/>
    <w:rsid w:val="005E1EBC"/>
    <w:rsid w:val="005E5DB7"/>
    <w:rsid w:val="005F040D"/>
    <w:rsid w:val="005F7F43"/>
    <w:rsid w:val="00603BB2"/>
    <w:rsid w:val="00615ED3"/>
    <w:rsid w:val="0062154E"/>
    <w:rsid w:val="00622A97"/>
    <w:rsid w:val="00625411"/>
    <w:rsid w:val="00631D08"/>
    <w:rsid w:val="006454A2"/>
    <w:rsid w:val="0065686D"/>
    <w:rsid w:val="00657BB5"/>
    <w:rsid w:val="006602C5"/>
    <w:rsid w:val="00670BED"/>
    <w:rsid w:val="00672496"/>
    <w:rsid w:val="0067711E"/>
    <w:rsid w:val="006771B1"/>
    <w:rsid w:val="00692D83"/>
    <w:rsid w:val="006A2B65"/>
    <w:rsid w:val="006A5334"/>
    <w:rsid w:val="006B1ADE"/>
    <w:rsid w:val="006B2AF9"/>
    <w:rsid w:val="006B5D0A"/>
    <w:rsid w:val="006C5576"/>
    <w:rsid w:val="006E3BBC"/>
    <w:rsid w:val="006E5F29"/>
    <w:rsid w:val="006F7BA3"/>
    <w:rsid w:val="0070041A"/>
    <w:rsid w:val="00701E3D"/>
    <w:rsid w:val="00706A1D"/>
    <w:rsid w:val="0071314E"/>
    <w:rsid w:val="00713A30"/>
    <w:rsid w:val="00713B31"/>
    <w:rsid w:val="00714DA2"/>
    <w:rsid w:val="00716CF6"/>
    <w:rsid w:val="00716EF1"/>
    <w:rsid w:val="00720CC6"/>
    <w:rsid w:val="007267A3"/>
    <w:rsid w:val="007325C8"/>
    <w:rsid w:val="007327A7"/>
    <w:rsid w:val="00734015"/>
    <w:rsid w:val="0075481B"/>
    <w:rsid w:val="00754C1F"/>
    <w:rsid w:val="007710C0"/>
    <w:rsid w:val="00776FF8"/>
    <w:rsid w:val="00784F1D"/>
    <w:rsid w:val="00785AA9"/>
    <w:rsid w:val="007932DB"/>
    <w:rsid w:val="007949EC"/>
    <w:rsid w:val="007A1235"/>
    <w:rsid w:val="007B363F"/>
    <w:rsid w:val="007F7843"/>
    <w:rsid w:val="00801F41"/>
    <w:rsid w:val="008026B9"/>
    <w:rsid w:val="00804656"/>
    <w:rsid w:val="008146A8"/>
    <w:rsid w:val="008172AD"/>
    <w:rsid w:val="00825D8B"/>
    <w:rsid w:val="0084534E"/>
    <w:rsid w:val="008562C5"/>
    <w:rsid w:val="008636FE"/>
    <w:rsid w:val="008641AA"/>
    <w:rsid w:val="00866055"/>
    <w:rsid w:val="008707CD"/>
    <w:rsid w:val="008719A0"/>
    <w:rsid w:val="00874436"/>
    <w:rsid w:val="00886729"/>
    <w:rsid w:val="008909BF"/>
    <w:rsid w:val="0089620F"/>
    <w:rsid w:val="008A204D"/>
    <w:rsid w:val="008A2A15"/>
    <w:rsid w:val="008A5099"/>
    <w:rsid w:val="008A6665"/>
    <w:rsid w:val="008B03E5"/>
    <w:rsid w:val="008B5901"/>
    <w:rsid w:val="008C7AAD"/>
    <w:rsid w:val="008D3F01"/>
    <w:rsid w:val="008E3EA7"/>
    <w:rsid w:val="008F0314"/>
    <w:rsid w:val="00900285"/>
    <w:rsid w:val="00900FA0"/>
    <w:rsid w:val="00910FF6"/>
    <w:rsid w:val="00911242"/>
    <w:rsid w:val="00914177"/>
    <w:rsid w:val="00920C77"/>
    <w:rsid w:val="00926784"/>
    <w:rsid w:val="009273AB"/>
    <w:rsid w:val="009377AD"/>
    <w:rsid w:val="0094535A"/>
    <w:rsid w:val="0094733D"/>
    <w:rsid w:val="00952AA2"/>
    <w:rsid w:val="00955DEC"/>
    <w:rsid w:val="00965224"/>
    <w:rsid w:val="00970A7A"/>
    <w:rsid w:val="00970B61"/>
    <w:rsid w:val="00972497"/>
    <w:rsid w:val="009744DF"/>
    <w:rsid w:val="009831A0"/>
    <w:rsid w:val="009849C3"/>
    <w:rsid w:val="00990850"/>
    <w:rsid w:val="009917AA"/>
    <w:rsid w:val="00997833"/>
    <w:rsid w:val="009A2823"/>
    <w:rsid w:val="009B017D"/>
    <w:rsid w:val="009B445C"/>
    <w:rsid w:val="009B6C16"/>
    <w:rsid w:val="009B705D"/>
    <w:rsid w:val="009C058F"/>
    <w:rsid w:val="009C0D25"/>
    <w:rsid w:val="009C1137"/>
    <w:rsid w:val="009C1A82"/>
    <w:rsid w:val="009C52CE"/>
    <w:rsid w:val="009C5BD5"/>
    <w:rsid w:val="009D294B"/>
    <w:rsid w:val="009D2A63"/>
    <w:rsid w:val="009D5580"/>
    <w:rsid w:val="009E3D96"/>
    <w:rsid w:val="009E42E6"/>
    <w:rsid w:val="009F2A2E"/>
    <w:rsid w:val="009F4B22"/>
    <w:rsid w:val="00A0146F"/>
    <w:rsid w:val="00A0209A"/>
    <w:rsid w:val="00A049AB"/>
    <w:rsid w:val="00A078A6"/>
    <w:rsid w:val="00A200F4"/>
    <w:rsid w:val="00A266A2"/>
    <w:rsid w:val="00A30AB5"/>
    <w:rsid w:val="00A314C5"/>
    <w:rsid w:val="00A326A6"/>
    <w:rsid w:val="00A41532"/>
    <w:rsid w:val="00A43872"/>
    <w:rsid w:val="00A516E6"/>
    <w:rsid w:val="00A540D9"/>
    <w:rsid w:val="00A60D6E"/>
    <w:rsid w:val="00A64DA0"/>
    <w:rsid w:val="00A66BA2"/>
    <w:rsid w:val="00A70E63"/>
    <w:rsid w:val="00A72BAF"/>
    <w:rsid w:val="00A73893"/>
    <w:rsid w:val="00A74196"/>
    <w:rsid w:val="00A84D83"/>
    <w:rsid w:val="00A85CA3"/>
    <w:rsid w:val="00A85FAF"/>
    <w:rsid w:val="00A87201"/>
    <w:rsid w:val="00A92E2B"/>
    <w:rsid w:val="00A931F5"/>
    <w:rsid w:val="00A9473C"/>
    <w:rsid w:val="00AA0182"/>
    <w:rsid w:val="00AA2F62"/>
    <w:rsid w:val="00AB168B"/>
    <w:rsid w:val="00AC366B"/>
    <w:rsid w:val="00AC620D"/>
    <w:rsid w:val="00AC6FDB"/>
    <w:rsid w:val="00AD28CC"/>
    <w:rsid w:val="00AE1CCC"/>
    <w:rsid w:val="00AF26DC"/>
    <w:rsid w:val="00AF4DC8"/>
    <w:rsid w:val="00AF6D64"/>
    <w:rsid w:val="00B10FE5"/>
    <w:rsid w:val="00B1204D"/>
    <w:rsid w:val="00B260B6"/>
    <w:rsid w:val="00B26DC9"/>
    <w:rsid w:val="00B4076D"/>
    <w:rsid w:val="00B5032A"/>
    <w:rsid w:val="00B50D99"/>
    <w:rsid w:val="00B577D0"/>
    <w:rsid w:val="00B57AF2"/>
    <w:rsid w:val="00B647A6"/>
    <w:rsid w:val="00B65BCD"/>
    <w:rsid w:val="00B6616D"/>
    <w:rsid w:val="00B758E3"/>
    <w:rsid w:val="00B77FDD"/>
    <w:rsid w:val="00B87454"/>
    <w:rsid w:val="00B92C57"/>
    <w:rsid w:val="00B936F5"/>
    <w:rsid w:val="00B9749F"/>
    <w:rsid w:val="00BA09FF"/>
    <w:rsid w:val="00BA40A9"/>
    <w:rsid w:val="00BB5688"/>
    <w:rsid w:val="00BB709D"/>
    <w:rsid w:val="00BB790C"/>
    <w:rsid w:val="00BC63B8"/>
    <w:rsid w:val="00BC76D5"/>
    <w:rsid w:val="00BD0F52"/>
    <w:rsid w:val="00BD160A"/>
    <w:rsid w:val="00BD5C11"/>
    <w:rsid w:val="00BE2085"/>
    <w:rsid w:val="00BE347B"/>
    <w:rsid w:val="00BE3BDC"/>
    <w:rsid w:val="00BF0599"/>
    <w:rsid w:val="00BF0789"/>
    <w:rsid w:val="00BF2635"/>
    <w:rsid w:val="00C01403"/>
    <w:rsid w:val="00C110BE"/>
    <w:rsid w:val="00C151D6"/>
    <w:rsid w:val="00C15684"/>
    <w:rsid w:val="00C211E4"/>
    <w:rsid w:val="00C212CC"/>
    <w:rsid w:val="00C242FF"/>
    <w:rsid w:val="00C337A0"/>
    <w:rsid w:val="00C356FC"/>
    <w:rsid w:val="00C36F36"/>
    <w:rsid w:val="00C5206F"/>
    <w:rsid w:val="00C5369B"/>
    <w:rsid w:val="00C54408"/>
    <w:rsid w:val="00C602F6"/>
    <w:rsid w:val="00C61920"/>
    <w:rsid w:val="00C66E78"/>
    <w:rsid w:val="00C72D6A"/>
    <w:rsid w:val="00C75025"/>
    <w:rsid w:val="00C86083"/>
    <w:rsid w:val="00C87CA7"/>
    <w:rsid w:val="00CA164D"/>
    <w:rsid w:val="00CB5EFF"/>
    <w:rsid w:val="00CB7330"/>
    <w:rsid w:val="00CC270E"/>
    <w:rsid w:val="00CC40FA"/>
    <w:rsid w:val="00CC6481"/>
    <w:rsid w:val="00CD1600"/>
    <w:rsid w:val="00CD2DA1"/>
    <w:rsid w:val="00CD350A"/>
    <w:rsid w:val="00CD51A7"/>
    <w:rsid w:val="00CD7EAB"/>
    <w:rsid w:val="00CE034D"/>
    <w:rsid w:val="00CE3D79"/>
    <w:rsid w:val="00CF3000"/>
    <w:rsid w:val="00CF7489"/>
    <w:rsid w:val="00D00667"/>
    <w:rsid w:val="00D04C83"/>
    <w:rsid w:val="00D04CD4"/>
    <w:rsid w:val="00D1712E"/>
    <w:rsid w:val="00D25494"/>
    <w:rsid w:val="00D31726"/>
    <w:rsid w:val="00D32003"/>
    <w:rsid w:val="00D35F3D"/>
    <w:rsid w:val="00D43F33"/>
    <w:rsid w:val="00D464C9"/>
    <w:rsid w:val="00D50E1B"/>
    <w:rsid w:val="00D53721"/>
    <w:rsid w:val="00D56EB1"/>
    <w:rsid w:val="00D6264D"/>
    <w:rsid w:val="00D704A8"/>
    <w:rsid w:val="00D74BDF"/>
    <w:rsid w:val="00D82AC0"/>
    <w:rsid w:val="00D8331F"/>
    <w:rsid w:val="00D833E3"/>
    <w:rsid w:val="00D844CB"/>
    <w:rsid w:val="00D901ED"/>
    <w:rsid w:val="00DA4D2A"/>
    <w:rsid w:val="00DB1D2D"/>
    <w:rsid w:val="00DC0361"/>
    <w:rsid w:val="00DC52DA"/>
    <w:rsid w:val="00DD36F1"/>
    <w:rsid w:val="00DD3AC4"/>
    <w:rsid w:val="00DD6F33"/>
    <w:rsid w:val="00DF4CA4"/>
    <w:rsid w:val="00DF7353"/>
    <w:rsid w:val="00E0429A"/>
    <w:rsid w:val="00E04B8B"/>
    <w:rsid w:val="00E04F9E"/>
    <w:rsid w:val="00E108F7"/>
    <w:rsid w:val="00E138AF"/>
    <w:rsid w:val="00E170B3"/>
    <w:rsid w:val="00E222AC"/>
    <w:rsid w:val="00E245F8"/>
    <w:rsid w:val="00E32E57"/>
    <w:rsid w:val="00E41474"/>
    <w:rsid w:val="00E41FB0"/>
    <w:rsid w:val="00E4438C"/>
    <w:rsid w:val="00E4460D"/>
    <w:rsid w:val="00E50BBF"/>
    <w:rsid w:val="00E56F51"/>
    <w:rsid w:val="00E63E1A"/>
    <w:rsid w:val="00E6672A"/>
    <w:rsid w:val="00E75424"/>
    <w:rsid w:val="00E96AC9"/>
    <w:rsid w:val="00EA53DA"/>
    <w:rsid w:val="00EA6489"/>
    <w:rsid w:val="00EA75E0"/>
    <w:rsid w:val="00EB1AFA"/>
    <w:rsid w:val="00EB57D9"/>
    <w:rsid w:val="00EC73F5"/>
    <w:rsid w:val="00EC7FCA"/>
    <w:rsid w:val="00ED19EA"/>
    <w:rsid w:val="00ED6123"/>
    <w:rsid w:val="00EE07A3"/>
    <w:rsid w:val="00EE14C7"/>
    <w:rsid w:val="00EE2B1F"/>
    <w:rsid w:val="00EE4A08"/>
    <w:rsid w:val="00EE5DAD"/>
    <w:rsid w:val="00EE73B4"/>
    <w:rsid w:val="00EE770F"/>
    <w:rsid w:val="00F02434"/>
    <w:rsid w:val="00F025FC"/>
    <w:rsid w:val="00F034CC"/>
    <w:rsid w:val="00F04761"/>
    <w:rsid w:val="00F06599"/>
    <w:rsid w:val="00F07732"/>
    <w:rsid w:val="00F12165"/>
    <w:rsid w:val="00F1686B"/>
    <w:rsid w:val="00F269D2"/>
    <w:rsid w:val="00F31844"/>
    <w:rsid w:val="00F321A5"/>
    <w:rsid w:val="00F3433F"/>
    <w:rsid w:val="00F35CBA"/>
    <w:rsid w:val="00F3610A"/>
    <w:rsid w:val="00F4653F"/>
    <w:rsid w:val="00F5008C"/>
    <w:rsid w:val="00F5105B"/>
    <w:rsid w:val="00F57088"/>
    <w:rsid w:val="00F57EC2"/>
    <w:rsid w:val="00F626C3"/>
    <w:rsid w:val="00F65B3B"/>
    <w:rsid w:val="00F677FC"/>
    <w:rsid w:val="00F72BBF"/>
    <w:rsid w:val="00F73D15"/>
    <w:rsid w:val="00F76FBB"/>
    <w:rsid w:val="00F8055F"/>
    <w:rsid w:val="00F864AB"/>
    <w:rsid w:val="00F86BEE"/>
    <w:rsid w:val="00F95B1E"/>
    <w:rsid w:val="00F96C2F"/>
    <w:rsid w:val="00FA17F4"/>
    <w:rsid w:val="00FA7286"/>
    <w:rsid w:val="00FC01E7"/>
    <w:rsid w:val="00FC489C"/>
    <w:rsid w:val="00FC6210"/>
    <w:rsid w:val="00FC7349"/>
    <w:rsid w:val="00FC76EF"/>
    <w:rsid w:val="00FD12CC"/>
    <w:rsid w:val="00FD1D9C"/>
    <w:rsid w:val="00FD48F5"/>
    <w:rsid w:val="00FD6994"/>
    <w:rsid w:val="00FD756E"/>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C2D6"/>
  <w15:chartTrackingRefBased/>
  <w15:docId w15:val="{E593F597-CAD6-004F-93C3-AEB5CF1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2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2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D2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9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9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9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9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2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2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D2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94B"/>
    <w:rPr>
      <w:rFonts w:eastAsiaTheme="majorEastAsia" w:cstheme="majorBidi"/>
      <w:color w:val="272727" w:themeColor="text1" w:themeTint="D8"/>
    </w:rPr>
  </w:style>
  <w:style w:type="paragraph" w:styleId="Title">
    <w:name w:val="Title"/>
    <w:basedOn w:val="Normal"/>
    <w:next w:val="Normal"/>
    <w:link w:val="TitleChar"/>
    <w:uiPriority w:val="10"/>
    <w:qFormat/>
    <w:rsid w:val="009D29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9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9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94B"/>
    <w:rPr>
      <w:i/>
      <w:iCs/>
      <w:color w:val="404040" w:themeColor="text1" w:themeTint="BF"/>
    </w:rPr>
  </w:style>
  <w:style w:type="paragraph" w:styleId="ListParagraph">
    <w:name w:val="List Paragraph"/>
    <w:basedOn w:val="Normal"/>
    <w:uiPriority w:val="34"/>
    <w:qFormat/>
    <w:rsid w:val="009D294B"/>
    <w:pPr>
      <w:ind w:left="720"/>
      <w:contextualSpacing/>
    </w:pPr>
  </w:style>
  <w:style w:type="character" w:styleId="IntenseEmphasis">
    <w:name w:val="Intense Emphasis"/>
    <w:basedOn w:val="DefaultParagraphFont"/>
    <w:uiPriority w:val="21"/>
    <w:qFormat/>
    <w:rsid w:val="009D294B"/>
    <w:rPr>
      <w:i/>
      <w:iCs/>
      <w:color w:val="0F4761" w:themeColor="accent1" w:themeShade="BF"/>
    </w:rPr>
  </w:style>
  <w:style w:type="paragraph" w:styleId="IntenseQuote">
    <w:name w:val="Intense Quote"/>
    <w:basedOn w:val="Normal"/>
    <w:next w:val="Normal"/>
    <w:link w:val="IntenseQuoteChar"/>
    <w:uiPriority w:val="30"/>
    <w:qFormat/>
    <w:rsid w:val="009D2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94B"/>
    <w:rPr>
      <w:i/>
      <w:iCs/>
      <w:color w:val="0F4761" w:themeColor="accent1" w:themeShade="BF"/>
    </w:rPr>
  </w:style>
  <w:style w:type="character" w:styleId="IntenseReference">
    <w:name w:val="Intense Reference"/>
    <w:basedOn w:val="DefaultParagraphFont"/>
    <w:uiPriority w:val="32"/>
    <w:qFormat/>
    <w:rsid w:val="009D294B"/>
    <w:rPr>
      <w:b/>
      <w:bCs/>
      <w:smallCaps/>
      <w:color w:val="0F4761" w:themeColor="accent1" w:themeShade="BF"/>
      <w:spacing w:val="5"/>
    </w:rPr>
  </w:style>
  <w:style w:type="paragraph" w:styleId="Header">
    <w:name w:val="header"/>
    <w:basedOn w:val="Normal"/>
    <w:link w:val="HeaderChar"/>
    <w:uiPriority w:val="99"/>
    <w:unhideWhenUsed/>
    <w:rsid w:val="00116FEE"/>
    <w:pPr>
      <w:tabs>
        <w:tab w:val="center" w:pos="4680"/>
        <w:tab w:val="right" w:pos="9360"/>
      </w:tabs>
    </w:pPr>
  </w:style>
  <w:style w:type="character" w:customStyle="1" w:styleId="HeaderChar">
    <w:name w:val="Header Char"/>
    <w:basedOn w:val="DefaultParagraphFont"/>
    <w:link w:val="Header"/>
    <w:uiPriority w:val="99"/>
    <w:rsid w:val="00116FEE"/>
  </w:style>
  <w:style w:type="paragraph" w:styleId="Footer">
    <w:name w:val="footer"/>
    <w:basedOn w:val="Normal"/>
    <w:link w:val="FooterChar"/>
    <w:uiPriority w:val="99"/>
    <w:unhideWhenUsed/>
    <w:rsid w:val="00116FEE"/>
    <w:pPr>
      <w:tabs>
        <w:tab w:val="center" w:pos="4680"/>
        <w:tab w:val="right" w:pos="9360"/>
      </w:tabs>
    </w:pPr>
  </w:style>
  <w:style w:type="character" w:customStyle="1" w:styleId="FooterChar">
    <w:name w:val="Footer Char"/>
    <w:basedOn w:val="DefaultParagraphFont"/>
    <w:link w:val="Footer"/>
    <w:uiPriority w:val="99"/>
    <w:rsid w:val="00116FEE"/>
  </w:style>
  <w:style w:type="table" w:styleId="TableGrid">
    <w:name w:val="Table Grid"/>
    <w:basedOn w:val="TableNormal"/>
    <w:uiPriority w:val="39"/>
    <w:rsid w:val="00AE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02C5"/>
  </w:style>
  <w:style w:type="character" w:styleId="Hyperlink">
    <w:name w:val="Hyperlink"/>
    <w:basedOn w:val="DefaultParagraphFont"/>
    <w:uiPriority w:val="99"/>
    <w:unhideWhenUsed/>
    <w:rsid w:val="004B69F0"/>
    <w:rPr>
      <w:color w:val="467886" w:themeColor="hyperlink"/>
      <w:u w:val="single"/>
    </w:rPr>
  </w:style>
  <w:style w:type="character" w:styleId="UnresolvedMention">
    <w:name w:val="Unresolved Mention"/>
    <w:basedOn w:val="DefaultParagraphFont"/>
    <w:uiPriority w:val="99"/>
    <w:semiHidden/>
    <w:unhideWhenUsed/>
    <w:rsid w:val="004B69F0"/>
    <w:rPr>
      <w:color w:val="605E5C"/>
      <w:shd w:val="clear" w:color="auto" w:fill="E1DFDD"/>
    </w:rPr>
  </w:style>
  <w:style w:type="paragraph" w:styleId="NormalWeb">
    <w:name w:val="Normal (Web)"/>
    <w:basedOn w:val="Normal"/>
    <w:uiPriority w:val="99"/>
    <w:semiHidden/>
    <w:unhideWhenUsed/>
    <w:rsid w:val="000F55AC"/>
    <w:rPr>
      <w:rFonts w:ascii="Times New Roman" w:hAnsi="Times New Roman" w:cs="Times New Roman"/>
    </w:rPr>
  </w:style>
  <w:style w:type="character" w:styleId="CommentReference">
    <w:name w:val="annotation reference"/>
    <w:basedOn w:val="DefaultParagraphFont"/>
    <w:uiPriority w:val="99"/>
    <w:semiHidden/>
    <w:unhideWhenUsed/>
    <w:rsid w:val="00A60D6E"/>
    <w:rPr>
      <w:sz w:val="16"/>
      <w:szCs w:val="16"/>
    </w:rPr>
  </w:style>
  <w:style w:type="paragraph" w:styleId="CommentText">
    <w:name w:val="annotation text"/>
    <w:basedOn w:val="Normal"/>
    <w:link w:val="CommentTextChar"/>
    <w:uiPriority w:val="99"/>
    <w:unhideWhenUsed/>
    <w:rsid w:val="00A60D6E"/>
    <w:rPr>
      <w:sz w:val="20"/>
      <w:szCs w:val="20"/>
    </w:rPr>
  </w:style>
  <w:style w:type="character" w:customStyle="1" w:styleId="CommentTextChar">
    <w:name w:val="Comment Text Char"/>
    <w:basedOn w:val="DefaultParagraphFont"/>
    <w:link w:val="CommentText"/>
    <w:uiPriority w:val="99"/>
    <w:rsid w:val="00A60D6E"/>
    <w:rPr>
      <w:sz w:val="20"/>
      <w:szCs w:val="20"/>
    </w:rPr>
  </w:style>
  <w:style w:type="paragraph" w:styleId="CommentSubject">
    <w:name w:val="annotation subject"/>
    <w:basedOn w:val="CommentText"/>
    <w:next w:val="CommentText"/>
    <w:link w:val="CommentSubjectChar"/>
    <w:uiPriority w:val="99"/>
    <w:semiHidden/>
    <w:unhideWhenUsed/>
    <w:rsid w:val="00A60D6E"/>
    <w:rPr>
      <w:b/>
      <w:bCs/>
    </w:rPr>
  </w:style>
  <w:style w:type="character" w:customStyle="1" w:styleId="CommentSubjectChar">
    <w:name w:val="Comment Subject Char"/>
    <w:basedOn w:val="CommentTextChar"/>
    <w:link w:val="CommentSubject"/>
    <w:uiPriority w:val="99"/>
    <w:semiHidden/>
    <w:rsid w:val="00A60D6E"/>
    <w:rPr>
      <w:b/>
      <w:bCs/>
      <w:sz w:val="20"/>
      <w:szCs w:val="20"/>
    </w:rPr>
  </w:style>
  <w:style w:type="paragraph" w:styleId="Revision">
    <w:name w:val="Revision"/>
    <w:hidden/>
    <w:uiPriority w:val="99"/>
    <w:semiHidden/>
    <w:rsid w:val="00080CD0"/>
  </w:style>
  <w:style w:type="character" w:styleId="FollowedHyperlink">
    <w:name w:val="FollowedHyperlink"/>
    <w:basedOn w:val="DefaultParagraphFont"/>
    <w:uiPriority w:val="99"/>
    <w:semiHidden/>
    <w:unhideWhenUsed/>
    <w:rsid w:val="002216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4447">
      <w:bodyDiv w:val="1"/>
      <w:marLeft w:val="0"/>
      <w:marRight w:val="0"/>
      <w:marTop w:val="0"/>
      <w:marBottom w:val="0"/>
      <w:divBdr>
        <w:top w:val="none" w:sz="0" w:space="0" w:color="auto"/>
        <w:left w:val="none" w:sz="0" w:space="0" w:color="auto"/>
        <w:bottom w:val="none" w:sz="0" w:space="0" w:color="auto"/>
        <w:right w:val="none" w:sz="0" w:space="0" w:color="auto"/>
      </w:divBdr>
    </w:div>
    <w:div w:id="544610537">
      <w:bodyDiv w:val="1"/>
      <w:marLeft w:val="0"/>
      <w:marRight w:val="0"/>
      <w:marTop w:val="0"/>
      <w:marBottom w:val="0"/>
      <w:divBdr>
        <w:top w:val="none" w:sz="0" w:space="0" w:color="auto"/>
        <w:left w:val="none" w:sz="0" w:space="0" w:color="auto"/>
        <w:bottom w:val="none" w:sz="0" w:space="0" w:color="auto"/>
        <w:right w:val="none" w:sz="0" w:space="0" w:color="auto"/>
      </w:divBdr>
      <w:divsChild>
        <w:div w:id="1212571469">
          <w:marLeft w:val="0"/>
          <w:marRight w:val="0"/>
          <w:marTop w:val="0"/>
          <w:marBottom w:val="0"/>
          <w:divBdr>
            <w:top w:val="none" w:sz="0" w:space="0" w:color="auto"/>
            <w:left w:val="none" w:sz="0" w:space="0" w:color="auto"/>
            <w:bottom w:val="none" w:sz="0" w:space="0" w:color="auto"/>
            <w:right w:val="none" w:sz="0" w:space="0" w:color="auto"/>
          </w:divBdr>
          <w:divsChild>
            <w:div w:id="127092579">
              <w:marLeft w:val="0"/>
              <w:marRight w:val="0"/>
              <w:marTop w:val="0"/>
              <w:marBottom w:val="0"/>
              <w:divBdr>
                <w:top w:val="none" w:sz="0" w:space="0" w:color="auto"/>
                <w:left w:val="none" w:sz="0" w:space="0" w:color="auto"/>
                <w:bottom w:val="none" w:sz="0" w:space="0" w:color="auto"/>
                <w:right w:val="none" w:sz="0" w:space="0" w:color="auto"/>
              </w:divBdr>
              <w:divsChild>
                <w:div w:id="2022320214">
                  <w:marLeft w:val="0"/>
                  <w:marRight w:val="0"/>
                  <w:marTop w:val="0"/>
                  <w:marBottom w:val="0"/>
                  <w:divBdr>
                    <w:top w:val="none" w:sz="0" w:space="0" w:color="auto"/>
                    <w:left w:val="none" w:sz="0" w:space="0" w:color="auto"/>
                    <w:bottom w:val="none" w:sz="0" w:space="0" w:color="auto"/>
                    <w:right w:val="none" w:sz="0" w:space="0" w:color="auto"/>
                  </w:divBdr>
                  <w:divsChild>
                    <w:div w:id="1961644978">
                      <w:marLeft w:val="0"/>
                      <w:marRight w:val="0"/>
                      <w:marTop w:val="0"/>
                      <w:marBottom w:val="0"/>
                      <w:divBdr>
                        <w:top w:val="none" w:sz="0" w:space="0" w:color="auto"/>
                        <w:left w:val="none" w:sz="0" w:space="0" w:color="auto"/>
                        <w:bottom w:val="none" w:sz="0" w:space="0" w:color="auto"/>
                        <w:right w:val="none" w:sz="0" w:space="0" w:color="auto"/>
                      </w:divBdr>
                      <w:divsChild>
                        <w:div w:id="196703787">
                          <w:marLeft w:val="0"/>
                          <w:marRight w:val="0"/>
                          <w:marTop w:val="0"/>
                          <w:marBottom w:val="0"/>
                          <w:divBdr>
                            <w:top w:val="none" w:sz="0" w:space="0" w:color="auto"/>
                            <w:left w:val="none" w:sz="0" w:space="0" w:color="auto"/>
                            <w:bottom w:val="none" w:sz="0" w:space="0" w:color="auto"/>
                            <w:right w:val="none" w:sz="0" w:space="0" w:color="auto"/>
                          </w:divBdr>
                          <w:divsChild>
                            <w:div w:id="7068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155713">
      <w:bodyDiv w:val="1"/>
      <w:marLeft w:val="0"/>
      <w:marRight w:val="0"/>
      <w:marTop w:val="0"/>
      <w:marBottom w:val="0"/>
      <w:divBdr>
        <w:top w:val="none" w:sz="0" w:space="0" w:color="auto"/>
        <w:left w:val="none" w:sz="0" w:space="0" w:color="auto"/>
        <w:bottom w:val="none" w:sz="0" w:space="0" w:color="auto"/>
        <w:right w:val="none" w:sz="0" w:space="0" w:color="auto"/>
      </w:divBdr>
      <w:divsChild>
        <w:div w:id="1801994084">
          <w:marLeft w:val="0"/>
          <w:marRight w:val="0"/>
          <w:marTop w:val="0"/>
          <w:marBottom w:val="0"/>
          <w:divBdr>
            <w:top w:val="none" w:sz="0" w:space="0" w:color="auto"/>
            <w:left w:val="none" w:sz="0" w:space="0" w:color="auto"/>
            <w:bottom w:val="none" w:sz="0" w:space="0" w:color="auto"/>
            <w:right w:val="none" w:sz="0" w:space="0" w:color="auto"/>
          </w:divBdr>
          <w:divsChild>
            <w:div w:id="1347094531">
              <w:marLeft w:val="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14175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5047">
          <w:marLeft w:val="0"/>
          <w:marRight w:val="0"/>
          <w:marTop w:val="0"/>
          <w:marBottom w:val="0"/>
          <w:divBdr>
            <w:top w:val="none" w:sz="0" w:space="0" w:color="auto"/>
            <w:left w:val="none" w:sz="0" w:space="0" w:color="auto"/>
            <w:bottom w:val="none" w:sz="0" w:space="0" w:color="auto"/>
            <w:right w:val="none" w:sz="0" w:space="0" w:color="auto"/>
          </w:divBdr>
          <w:divsChild>
            <w:div w:id="1164708400">
              <w:marLeft w:val="0"/>
              <w:marRight w:val="0"/>
              <w:marTop w:val="0"/>
              <w:marBottom w:val="0"/>
              <w:divBdr>
                <w:top w:val="none" w:sz="0" w:space="0" w:color="auto"/>
                <w:left w:val="none" w:sz="0" w:space="0" w:color="auto"/>
                <w:bottom w:val="none" w:sz="0" w:space="0" w:color="auto"/>
                <w:right w:val="none" w:sz="0" w:space="0" w:color="auto"/>
              </w:divBdr>
              <w:divsChild>
                <w:div w:id="984313872">
                  <w:marLeft w:val="0"/>
                  <w:marRight w:val="0"/>
                  <w:marTop w:val="0"/>
                  <w:marBottom w:val="0"/>
                  <w:divBdr>
                    <w:top w:val="none" w:sz="0" w:space="0" w:color="auto"/>
                    <w:left w:val="none" w:sz="0" w:space="0" w:color="auto"/>
                    <w:bottom w:val="none" w:sz="0" w:space="0" w:color="auto"/>
                    <w:right w:val="none" w:sz="0" w:space="0" w:color="auto"/>
                  </w:divBdr>
                  <w:divsChild>
                    <w:div w:id="18171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18779">
      <w:bodyDiv w:val="1"/>
      <w:marLeft w:val="0"/>
      <w:marRight w:val="0"/>
      <w:marTop w:val="0"/>
      <w:marBottom w:val="0"/>
      <w:divBdr>
        <w:top w:val="none" w:sz="0" w:space="0" w:color="auto"/>
        <w:left w:val="none" w:sz="0" w:space="0" w:color="auto"/>
        <w:bottom w:val="none" w:sz="0" w:space="0" w:color="auto"/>
        <w:right w:val="none" w:sz="0" w:space="0" w:color="auto"/>
      </w:divBdr>
      <w:divsChild>
        <w:div w:id="29498958">
          <w:marLeft w:val="0"/>
          <w:marRight w:val="0"/>
          <w:marTop w:val="0"/>
          <w:marBottom w:val="0"/>
          <w:divBdr>
            <w:top w:val="none" w:sz="0" w:space="0" w:color="auto"/>
            <w:left w:val="none" w:sz="0" w:space="0" w:color="auto"/>
            <w:bottom w:val="none" w:sz="0" w:space="0" w:color="auto"/>
            <w:right w:val="none" w:sz="0" w:space="0" w:color="auto"/>
          </w:divBdr>
          <w:divsChild>
            <w:div w:id="825784505">
              <w:marLeft w:val="0"/>
              <w:marRight w:val="0"/>
              <w:marTop w:val="0"/>
              <w:marBottom w:val="0"/>
              <w:divBdr>
                <w:top w:val="none" w:sz="0" w:space="0" w:color="auto"/>
                <w:left w:val="none" w:sz="0" w:space="0" w:color="auto"/>
                <w:bottom w:val="none" w:sz="0" w:space="0" w:color="auto"/>
                <w:right w:val="none" w:sz="0" w:space="0" w:color="auto"/>
              </w:divBdr>
              <w:divsChild>
                <w:div w:id="1736704595">
                  <w:marLeft w:val="0"/>
                  <w:marRight w:val="0"/>
                  <w:marTop w:val="0"/>
                  <w:marBottom w:val="0"/>
                  <w:divBdr>
                    <w:top w:val="none" w:sz="0" w:space="0" w:color="auto"/>
                    <w:left w:val="none" w:sz="0" w:space="0" w:color="auto"/>
                    <w:bottom w:val="none" w:sz="0" w:space="0" w:color="auto"/>
                    <w:right w:val="none" w:sz="0" w:space="0" w:color="auto"/>
                  </w:divBdr>
                  <w:divsChild>
                    <w:div w:id="246883173">
                      <w:marLeft w:val="0"/>
                      <w:marRight w:val="0"/>
                      <w:marTop w:val="0"/>
                      <w:marBottom w:val="0"/>
                      <w:divBdr>
                        <w:top w:val="none" w:sz="0" w:space="0" w:color="auto"/>
                        <w:left w:val="none" w:sz="0" w:space="0" w:color="auto"/>
                        <w:bottom w:val="none" w:sz="0" w:space="0" w:color="auto"/>
                        <w:right w:val="none" w:sz="0" w:space="0" w:color="auto"/>
                      </w:divBdr>
                      <w:divsChild>
                        <w:div w:id="1022046659">
                          <w:marLeft w:val="0"/>
                          <w:marRight w:val="0"/>
                          <w:marTop w:val="0"/>
                          <w:marBottom w:val="0"/>
                          <w:divBdr>
                            <w:top w:val="none" w:sz="0" w:space="0" w:color="auto"/>
                            <w:left w:val="none" w:sz="0" w:space="0" w:color="auto"/>
                            <w:bottom w:val="none" w:sz="0" w:space="0" w:color="auto"/>
                            <w:right w:val="none" w:sz="0" w:space="0" w:color="auto"/>
                          </w:divBdr>
                          <w:divsChild>
                            <w:div w:id="5698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60753">
      <w:bodyDiv w:val="1"/>
      <w:marLeft w:val="0"/>
      <w:marRight w:val="0"/>
      <w:marTop w:val="0"/>
      <w:marBottom w:val="0"/>
      <w:divBdr>
        <w:top w:val="none" w:sz="0" w:space="0" w:color="auto"/>
        <w:left w:val="none" w:sz="0" w:space="0" w:color="auto"/>
        <w:bottom w:val="none" w:sz="0" w:space="0" w:color="auto"/>
        <w:right w:val="none" w:sz="0" w:space="0" w:color="auto"/>
      </w:divBdr>
    </w:div>
    <w:div w:id="1121221193">
      <w:bodyDiv w:val="1"/>
      <w:marLeft w:val="0"/>
      <w:marRight w:val="0"/>
      <w:marTop w:val="0"/>
      <w:marBottom w:val="0"/>
      <w:divBdr>
        <w:top w:val="none" w:sz="0" w:space="0" w:color="auto"/>
        <w:left w:val="none" w:sz="0" w:space="0" w:color="auto"/>
        <w:bottom w:val="none" w:sz="0" w:space="0" w:color="auto"/>
        <w:right w:val="none" w:sz="0" w:space="0" w:color="auto"/>
      </w:divBdr>
      <w:divsChild>
        <w:div w:id="168520940">
          <w:marLeft w:val="0"/>
          <w:marRight w:val="0"/>
          <w:marTop w:val="0"/>
          <w:marBottom w:val="0"/>
          <w:divBdr>
            <w:top w:val="none" w:sz="0" w:space="0" w:color="auto"/>
            <w:left w:val="none" w:sz="0" w:space="0" w:color="auto"/>
            <w:bottom w:val="none" w:sz="0" w:space="0" w:color="auto"/>
            <w:right w:val="none" w:sz="0" w:space="0" w:color="auto"/>
          </w:divBdr>
          <w:divsChild>
            <w:div w:id="1376463945">
              <w:marLeft w:val="0"/>
              <w:marRight w:val="0"/>
              <w:marTop w:val="0"/>
              <w:marBottom w:val="0"/>
              <w:divBdr>
                <w:top w:val="none" w:sz="0" w:space="0" w:color="auto"/>
                <w:left w:val="none" w:sz="0" w:space="0" w:color="auto"/>
                <w:bottom w:val="none" w:sz="0" w:space="0" w:color="auto"/>
                <w:right w:val="none" w:sz="0" w:space="0" w:color="auto"/>
              </w:divBdr>
              <w:divsChild>
                <w:div w:id="271713502">
                  <w:marLeft w:val="0"/>
                  <w:marRight w:val="0"/>
                  <w:marTop w:val="0"/>
                  <w:marBottom w:val="0"/>
                  <w:divBdr>
                    <w:top w:val="none" w:sz="0" w:space="0" w:color="auto"/>
                    <w:left w:val="none" w:sz="0" w:space="0" w:color="auto"/>
                    <w:bottom w:val="none" w:sz="0" w:space="0" w:color="auto"/>
                    <w:right w:val="none" w:sz="0" w:space="0" w:color="auto"/>
                  </w:divBdr>
                  <w:divsChild>
                    <w:div w:id="8889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72324">
          <w:marLeft w:val="0"/>
          <w:marRight w:val="0"/>
          <w:marTop w:val="0"/>
          <w:marBottom w:val="0"/>
          <w:divBdr>
            <w:top w:val="none" w:sz="0" w:space="0" w:color="auto"/>
            <w:left w:val="none" w:sz="0" w:space="0" w:color="auto"/>
            <w:bottom w:val="none" w:sz="0" w:space="0" w:color="auto"/>
            <w:right w:val="none" w:sz="0" w:space="0" w:color="auto"/>
          </w:divBdr>
          <w:divsChild>
            <w:div w:id="598298271">
              <w:marLeft w:val="0"/>
              <w:marRight w:val="0"/>
              <w:marTop w:val="0"/>
              <w:marBottom w:val="0"/>
              <w:divBdr>
                <w:top w:val="none" w:sz="0" w:space="0" w:color="auto"/>
                <w:left w:val="none" w:sz="0" w:space="0" w:color="auto"/>
                <w:bottom w:val="none" w:sz="0" w:space="0" w:color="auto"/>
                <w:right w:val="none" w:sz="0" w:space="0" w:color="auto"/>
              </w:divBdr>
              <w:divsChild>
                <w:div w:id="165681612">
                  <w:marLeft w:val="0"/>
                  <w:marRight w:val="0"/>
                  <w:marTop w:val="0"/>
                  <w:marBottom w:val="0"/>
                  <w:divBdr>
                    <w:top w:val="none" w:sz="0" w:space="0" w:color="auto"/>
                    <w:left w:val="none" w:sz="0" w:space="0" w:color="auto"/>
                    <w:bottom w:val="none" w:sz="0" w:space="0" w:color="auto"/>
                    <w:right w:val="none" w:sz="0" w:space="0" w:color="auto"/>
                  </w:divBdr>
                  <w:divsChild>
                    <w:div w:id="119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86841">
      <w:bodyDiv w:val="1"/>
      <w:marLeft w:val="0"/>
      <w:marRight w:val="0"/>
      <w:marTop w:val="0"/>
      <w:marBottom w:val="0"/>
      <w:divBdr>
        <w:top w:val="none" w:sz="0" w:space="0" w:color="auto"/>
        <w:left w:val="none" w:sz="0" w:space="0" w:color="auto"/>
        <w:bottom w:val="none" w:sz="0" w:space="0" w:color="auto"/>
        <w:right w:val="none" w:sz="0" w:space="0" w:color="auto"/>
      </w:divBdr>
      <w:divsChild>
        <w:div w:id="1970890774">
          <w:marLeft w:val="0"/>
          <w:marRight w:val="0"/>
          <w:marTop w:val="0"/>
          <w:marBottom w:val="0"/>
          <w:divBdr>
            <w:top w:val="none" w:sz="0" w:space="0" w:color="auto"/>
            <w:left w:val="none" w:sz="0" w:space="0" w:color="auto"/>
            <w:bottom w:val="none" w:sz="0" w:space="0" w:color="auto"/>
            <w:right w:val="none" w:sz="0" w:space="0" w:color="auto"/>
          </w:divBdr>
          <w:divsChild>
            <w:div w:id="1537543856">
              <w:marLeft w:val="0"/>
              <w:marRight w:val="0"/>
              <w:marTop w:val="0"/>
              <w:marBottom w:val="0"/>
              <w:divBdr>
                <w:top w:val="none" w:sz="0" w:space="0" w:color="auto"/>
                <w:left w:val="none" w:sz="0" w:space="0" w:color="auto"/>
                <w:bottom w:val="none" w:sz="0" w:space="0" w:color="auto"/>
                <w:right w:val="none" w:sz="0" w:space="0" w:color="auto"/>
              </w:divBdr>
              <w:divsChild>
                <w:div w:id="616909511">
                  <w:marLeft w:val="0"/>
                  <w:marRight w:val="0"/>
                  <w:marTop w:val="0"/>
                  <w:marBottom w:val="0"/>
                  <w:divBdr>
                    <w:top w:val="none" w:sz="0" w:space="0" w:color="auto"/>
                    <w:left w:val="none" w:sz="0" w:space="0" w:color="auto"/>
                    <w:bottom w:val="none" w:sz="0" w:space="0" w:color="auto"/>
                    <w:right w:val="none" w:sz="0" w:space="0" w:color="auto"/>
                  </w:divBdr>
                  <w:divsChild>
                    <w:div w:id="20350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3475">
          <w:marLeft w:val="0"/>
          <w:marRight w:val="0"/>
          <w:marTop w:val="0"/>
          <w:marBottom w:val="0"/>
          <w:divBdr>
            <w:top w:val="none" w:sz="0" w:space="0" w:color="auto"/>
            <w:left w:val="none" w:sz="0" w:space="0" w:color="auto"/>
            <w:bottom w:val="none" w:sz="0" w:space="0" w:color="auto"/>
            <w:right w:val="none" w:sz="0" w:space="0" w:color="auto"/>
          </w:divBdr>
          <w:divsChild>
            <w:div w:id="1451120529">
              <w:marLeft w:val="0"/>
              <w:marRight w:val="0"/>
              <w:marTop w:val="0"/>
              <w:marBottom w:val="0"/>
              <w:divBdr>
                <w:top w:val="none" w:sz="0" w:space="0" w:color="auto"/>
                <w:left w:val="none" w:sz="0" w:space="0" w:color="auto"/>
                <w:bottom w:val="none" w:sz="0" w:space="0" w:color="auto"/>
                <w:right w:val="none" w:sz="0" w:space="0" w:color="auto"/>
              </w:divBdr>
              <w:divsChild>
                <w:div w:id="531721883">
                  <w:marLeft w:val="0"/>
                  <w:marRight w:val="0"/>
                  <w:marTop w:val="0"/>
                  <w:marBottom w:val="0"/>
                  <w:divBdr>
                    <w:top w:val="none" w:sz="0" w:space="0" w:color="auto"/>
                    <w:left w:val="none" w:sz="0" w:space="0" w:color="auto"/>
                    <w:bottom w:val="none" w:sz="0" w:space="0" w:color="auto"/>
                    <w:right w:val="none" w:sz="0" w:space="0" w:color="auto"/>
                  </w:divBdr>
                  <w:divsChild>
                    <w:div w:id="8733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27700">
      <w:bodyDiv w:val="1"/>
      <w:marLeft w:val="0"/>
      <w:marRight w:val="0"/>
      <w:marTop w:val="0"/>
      <w:marBottom w:val="0"/>
      <w:divBdr>
        <w:top w:val="none" w:sz="0" w:space="0" w:color="auto"/>
        <w:left w:val="none" w:sz="0" w:space="0" w:color="auto"/>
        <w:bottom w:val="none" w:sz="0" w:space="0" w:color="auto"/>
        <w:right w:val="none" w:sz="0" w:space="0" w:color="auto"/>
      </w:divBdr>
      <w:divsChild>
        <w:div w:id="962002950">
          <w:marLeft w:val="0"/>
          <w:marRight w:val="0"/>
          <w:marTop w:val="0"/>
          <w:marBottom w:val="0"/>
          <w:divBdr>
            <w:top w:val="none" w:sz="0" w:space="0" w:color="auto"/>
            <w:left w:val="none" w:sz="0" w:space="0" w:color="auto"/>
            <w:bottom w:val="none" w:sz="0" w:space="0" w:color="auto"/>
            <w:right w:val="none" w:sz="0" w:space="0" w:color="auto"/>
          </w:divBdr>
          <w:divsChild>
            <w:div w:id="689113764">
              <w:marLeft w:val="0"/>
              <w:marRight w:val="0"/>
              <w:marTop w:val="0"/>
              <w:marBottom w:val="0"/>
              <w:divBdr>
                <w:top w:val="none" w:sz="0" w:space="0" w:color="auto"/>
                <w:left w:val="none" w:sz="0" w:space="0" w:color="auto"/>
                <w:bottom w:val="none" w:sz="0" w:space="0" w:color="auto"/>
                <w:right w:val="none" w:sz="0" w:space="0" w:color="auto"/>
              </w:divBdr>
              <w:divsChild>
                <w:div w:id="1453476650">
                  <w:marLeft w:val="0"/>
                  <w:marRight w:val="0"/>
                  <w:marTop w:val="0"/>
                  <w:marBottom w:val="0"/>
                  <w:divBdr>
                    <w:top w:val="none" w:sz="0" w:space="0" w:color="auto"/>
                    <w:left w:val="none" w:sz="0" w:space="0" w:color="auto"/>
                    <w:bottom w:val="none" w:sz="0" w:space="0" w:color="auto"/>
                    <w:right w:val="none" w:sz="0" w:space="0" w:color="auto"/>
                  </w:divBdr>
                  <w:divsChild>
                    <w:div w:id="16490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8011">
          <w:marLeft w:val="0"/>
          <w:marRight w:val="0"/>
          <w:marTop w:val="0"/>
          <w:marBottom w:val="0"/>
          <w:divBdr>
            <w:top w:val="none" w:sz="0" w:space="0" w:color="auto"/>
            <w:left w:val="none" w:sz="0" w:space="0" w:color="auto"/>
            <w:bottom w:val="none" w:sz="0" w:space="0" w:color="auto"/>
            <w:right w:val="none" w:sz="0" w:space="0" w:color="auto"/>
          </w:divBdr>
          <w:divsChild>
            <w:div w:id="1810585034">
              <w:marLeft w:val="0"/>
              <w:marRight w:val="0"/>
              <w:marTop w:val="0"/>
              <w:marBottom w:val="0"/>
              <w:divBdr>
                <w:top w:val="none" w:sz="0" w:space="0" w:color="auto"/>
                <w:left w:val="none" w:sz="0" w:space="0" w:color="auto"/>
                <w:bottom w:val="none" w:sz="0" w:space="0" w:color="auto"/>
                <w:right w:val="none" w:sz="0" w:space="0" w:color="auto"/>
              </w:divBdr>
              <w:divsChild>
                <w:div w:id="1054889823">
                  <w:marLeft w:val="0"/>
                  <w:marRight w:val="0"/>
                  <w:marTop w:val="0"/>
                  <w:marBottom w:val="0"/>
                  <w:divBdr>
                    <w:top w:val="none" w:sz="0" w:space="0" w:color="auto"/>
                    <w:left w:val="none" w:sz="0" w:space="0" w:color="auto"/>
                    <w:bottom w:val="none" w:sz="0" w:space="0" w:color="auto"/>
                    <w:right w:val="none" w:sz="0" w:space="0" w:color="auto"/>
                  </w:divBdr>
                  <w:divsChild>
                    <w:div w:id="21009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637528">
      <w:bodyDiv w:val="1"/>
      <w:marLeft w:val="0"/>
      <w:marRight w:val="0"/>
      <w:marTop w:val="0"/>
      <w:marBottom w:val="0"/>
      <w:divBdr>
        <w:top w:val="none" w:sz="0" w:space="0" w:color="auto"/>
        <w:left w:val="none" w:sz="0" w:space="0" w:color="auto"/>
        <w:bottom w:val="none" w:sz="0" w:space="0" w:color="auto"/>
        <w:right w:val="none" w:sz="0" w:space="0" w:color="auto"/>
      </w:divBdr>
    </w:div>
    <w:div w:id="20518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wp.educ.msu.edu/resources/faculty-staf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cpd.m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edfacil@msu.edu" TargetMode="External"/><Relationship Id="rId4" Type="http://schemas.openxmlformats.org/officeDocument/2006/relationships/webSettings" Target="webSettings.xml"/><Relationship Id="rId9" Type="http://schemas.openxmlformats.org/officeDocument/2006/relationships/hyperlink" Target="https://edwp.educ.msu.edu/resources/faculty-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10</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Ruggiero, Charlie</dc:creator>
  <cp:keywords/>
  <dc:description/>
  <cp:lastModifiedBy>Ruggiero, Charlie</cp:lastModifiedBy>
  <cp:revision>31</cp:revision>
  <dcterms:created xsi:type="dcterms:W3CDTF">2025-01-22T15:07:00Z</dcterms:created>
  <dcterms:modified xsi:type="dcterms:W3CDTF">2025-02-21T20:55:00Z</dcterms:modified>
</cp:coreProperties>
</file>