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F03A" w14:textId="77777777" w:rsidR="00DC28C3" w:rsidRDefault="00DC28C3" w:rsidP="00DC28C3">
      <w:pPr>
        <w:rPr>
          <w:b/>
          <w:bCs/>
        </w:rPr>
      </w:pPr>
      <w:r>
        <w:rPr>
          <w:b/>
          <w:bCs/>
        </w:rPr>
        <w:t>Climate Assessment Toolkit Sources</w:t>
      </w:r>
    </w:p>
    <w:p w14:paraId="49BA46EC" w14:textId="791E75FB" w:rsidR="00DC28C3" w:rsidRPr="00DC28C3" w:rsidRDefault="00DC28C3" w:rsidP="00DC28C3">
      <w:pPr>
        <w:rPr>
          <w:b/>
          <w:bCs/>
        </w:rPr>
      </w:pPr>
      <w:r w:rsidRPr="00DC28C3">
        <w:t>The following sources informed the development of th</w:t>
      </w:r>
      <w:r>
        <w:t>e Climate Assessment T</w:t>
      </w:r>
      <w:r w:rsidRPr="00DC28C3">
        <w:t xml:space="preserve">oolkit through conceptual and background research. Although not directly quoted, they significantly influenced the ideas and frameworks presented through the </w:t>
      </w:r>
      <w:r>
        <w:t>T</w:t>
      </w:r>
      <w:r w:rsidRPr="00DC28C3">
        <w:t>oolkit.</w:t>
      </w:r>
      <w:r w:rsidRPr="00DC28C3">
        <w:rPr>
          <w:b/>
          <w:bCs/>
        </w:rPr>
        <w:t> </w:t>
      </w:r>
    </w:p>
    <w:p w14:paraId="0A3FB7DC" w14:textId="77777777" w:rsidR="00DC28C3" w:rsidRPr="00DC28C3" w:rsidRDefault="00DC28C3" w:rsidP="00DC28C3">
      <w:pPr>
        <w:rPr>
          <w:b/>
          <w:bCs/>
        </w:rPr>
      </w:pPr>
      <w:r w:rsidRPr="00DC28C3">
        <w:rPr>
          <w:b/>
          <w:bCs/>
        </w:rPr>
        <w:t>CULTURE AND CLIMATE: </w:t>
      </w:r>
    </w:p>
    <w:p w14:paraId="018E4639" w14:textId="77777777" w:rsidR="000054A0" w:rsidRPr="00DC28C3" w:rsidRDefault="000054A0" w:rsidP="000054A0">
      <w:proofErr w:type="spellStart"/>
      <w:r w:rsidRPr="00DC28C3">
        <w:t>Benzaghta</w:t>
      </w:r>
      <w:proofErr w:type="spellEnd"/>
      <w:r w:rsidRPr="00DC28C3">
        <w:t xml:space="preserve">, M. A., </w:t>
      </w:r>
      <w:proofErr w:type="spellStart"/>
      <w:r w:rsidRPr="00DC28C3">
        <w:t>Elwalda</w:t>
      </w:r>
      <w:proofErr w:type="spellEnd"/>
      <w:r w:rsidRPr="00DC28C3">
        <w:t xml:space="preserve">, A., Mousa, M. M., Erkan, I., &amp; Rahman, M. (2021). SWOT analysis applications: An integrative literature review. </w:t>
      </w:r>
      <w:r w:rsidRPr="00DC28C3">
        <w:rPr>
          <w:i/>
          <w:iCs/>
        </w:rPr>
        <w:t>Journal of Global Business Insights</w:t>
      </w:r>
      <w:r w:rsidRPr="00DC28C3">
        <w:t xml:space="preserve">, 6(1), 55–73. </w:t>
      </w:r>
      <w:hyperlink r:id="rId4" w:tgtFrame="_blank" w:history="1">
        <w:r w:rsidRPr="00DC28C3">
          <w:rPr>
            <w:rStyle w:val="Hyperlink"/>
          </w:rPr>
          <w:t>https://doi.org/10.5038/2640-6489.6.1.1148</w:t>
        </w:r>
      </w:hyperlink>
      <w:r w:rsidRPr="00DC28C3">
        <w:t> </w:t>
      </w:r>
    </w:p>
    <w:p w14:paraId="6A55C6CE" w14:textId="77777777" w:rsidR="000054A0" w:rsidRDefault="000054A0" w:rsidP="00DC28C3">
      <w:r w:rsidRPr="00DC28C3">
        <w:t xml:space="preserve">Crenshaw, K. (1991). Mapping the margins: Intersectionality, identity politics, and violence against women of color. </w:t>
      </w:r>
      <w:r w:rsidRPr="00DC28C3">
        <w:rPr>
          <w:i/>
          <w:iCs/>
        </w:rPr>
        <w:t>Stanford Law Review</w:t>
      </w:r>
      <w:r w:rsidRPr="00DC28C3">
        <w:t xml:space="preserve">, 43(6), 1241–1299. </w:t>
      </w:r>
      <w:hyperlink r:id="rId5" w:tgtFrame="_blank" w:history="1">
        <w:r w:rsidRPr="00DC28C3">
          <w:rPr>
            <w:rStyle w:val="Hyperlink"/>
          </w:rPr>
          <w:t>https://doi.org/10.2307/1229039</w:t>
        </w:r>
      </w:hyperlink>
    </w:p>
    <w:p w14:paraId="497D2A85" w14:textId="04BDF5F5" w:rsidR="00DC28C3" w:rsidRPr="00DC28C3" w:rsidRDefault="000054A0" w:rsidP="00DC28C3">
      <w:r w:rsidRPr="00DC28C3">
        <w:t xml:space="preserve">Finnegan, R. P. (2018). </w:t>
      </w:r>
      <w:r w:rsidRPr="00DC28C3">
        <w:rPr>
          <w:i/>
          <w:iCs/>
        </w:rPr>
        <w:t>The power of stay interviews for engagement and retention</w:t>
      </w:r>
      <w:r w:rsidRPr="00DC28C3">
        <w:t xml:space="preserve"> (2nd ed.). S</w:t>
      </w:r>
      <w:r>
        <w:t xml:space="preserve">ociety for </w:t>
      </w:r>
      <w:r w:rsidRPr="00DC28C3">
        <w:t>H</w:t>
      </w:r>
      <w:r>
        <w:t xml:space="preserve">uman </w:t>
      </w:r>
      <w:r w:rsidRPr="00DC28C3">
        <w:t>R</w:t>
      </w:r>
      <w:r>
        <w:t xml:space="preserve">esource </w:t>
      </w:r>
      <w:r w:rsidRPr="00DC28C3">
        <w:t>M</w:t>
      </w:r>
      <w:r>
        <w:t>anagement</w:t>
      </w:r>
      <w:r w:rsidRPr="00DC28C3">
        <w:t>. </w:t>
      </w:r>
      <w:r w:rsidR="00DC28C3" w:rsidRPr="00DC28C3">
        <w:t> </w:t>
      </w:r>
    </w:p>
    <w:p w14:paraId="48F8E70A" w14:textId="77777777" w:rsidR="000054A0" w:rsidRPr="00DC28C3" w:rsidRDefault="000054A0" w:rsidP="000054A0">
      <w:r w:rsidRPr="00DC28C3">
        <w:t>Memon, M. (2022, August</w:t>
      </w:r>
      <w:r w:rsidRPr="00DC28C3">
        <w:rPr>
          <w:rFonts w:ascii="Arial" w:hAnsi="Arial" w:cs="Arial"/>
        </w:rPr>
        <w:t> </w:t>
      </w:r>
      <w:r w:rsidRPr="00DC28C3">
        <w:t xml:space="preserve">23). </w:t>
      </w:r>
      <w:r w:rsidRPr="00DC28C3">
        <w:rPr>
          <w:i/>
          <w:iCs/>
        </w:rPr>
        <w:t>Changing organizational culture: The complete guide</w:t>
      </w:r>
      <w:r w:rsidRPr="00DC28C3">
        <w:t>. Howspace. </w:t>
      </w:r>
      <w:hyperlink r:id="rId6" w:history="1">
        <w:r w:rsidRPr="00BC209F">
          <w:rPr>
            <w:rStyle w:val="Hyperlink"/>
          </w:rPr>
          <w:t>https://howspace.com/blog/changing-organizational-culture-complete-guide/</w:t>
        </w:r>
      </w:hyperlink>
      <w:r>
        <w:t xml:space="preserve"> </w:t>
      </w:r>
    </w:p>
    <w:p w14:paraId="7641F743" w14:textId="062EDADD" w:rsidR="00DC28C3" w:rsidRDefault="00DC28C3" w:rsidP="00DC28C3">
      <w:r w:rsidRPr="00DC28C3">
        <w:t>Stavros, J.</w:t>
      </w:r>
      <w:r w:rsidRPr="00DC28C3">
        <w:rPr>
          <w:rFonts w:ascii="Arial" w:hAnsi="Arial" w:cs="Arial"/>
        </w:rPr>
        <w:t> </w:t>
      </w:r>
      <w:r w:rsidRPr="00DC28C3">
        <w:t xml:space="preserve">M., &amp; Hinrichs, G. (2009). </w:t>
      </w:r>
      <w:r w:rsidRPr="00DC28C3">
        <w:rPr>
          <w:i/>
          <w:iCs/>
        </w:rPr>
        <w:t>The thin book of SOAR: Building strengths-based strategy</w:t>
      </w:r>
      <w:r w:rsidRPr="00DC28C3">
        <w:t>. Thin Book Publishers. </w:t>
      </w:r>
    </w:p>
    <w:p w14:paraId="6C74C1E6" w14:textId="77777777" w:rsidR="000054A0" w:rsidRPr="00DC28C3" w:rsidRDefault="000054A0" w:rsidP="000054A0">
      <w:r w:rsidRPr="00DC28C3">
        <w:t xml:space="preserve">Tierney, W. G. (1988). Organizational culture in higher education: Defining the essentials. </w:t>
      </w:r>
      <w:r w:rsidRPr="00DC28C3">
        <w:rPr>
          <w:i/>
          <w:iCs/>
        </w:rPr>
        <w:t>The Journal of Higher Education</w:t>
      </w:r>
      <w:r w:rsidRPr="00DC28C3">
        <w:t>, 59(1), 2–21. </w:t>
      </w:r>
    </w:p>
    <w:p w14:paraId="5B5524E1" w14:textId="5D7A8423" w:rsidR="000054A0" w:rsidRPr="00DC28C3" w:rsidRDefault="000054A0" w:rsidP="00DC28C3">
      <w:r w:rsidRPr="00DC28C3">
        <w:t xml:space="preserve">Yelvington, J. (2020, August 6). </w:t>
      </w:r>
      <w:r w:rsidRPr="00DC28C3">
        <w:rPr>
          <w:i/>
          <w:iCs/>
        </w:rPr>
        <w:t>Culture building: It’s on all of us</w:t>
      </w:r>
      <w:r w:rsidRPr="00DC28C3">
        <w:t>. MSU Human Resources</w:t>
      </w:r>
      <w:r>
        <w:t xml:space="preserve"> </w:t>
      </w:r>
      <w:proofErr w:type="spellStart"/>
      <w:r>
        <w:t>SourceLive</w:t>
      </w:r>
      <w:proofErr w:type="spellEnd"/>
      <w:r w:rsidRPr="00DC28C3">
        <w:t xml:space="preserve">. </w:t>
      </w:r>
      <w:hyperlink r:id="rId7" w:tgtFrame="_blank" w:history="1">
        <w:r w:rsidRPr="00DC28C3">
          <w:rPr>
            <w:rStyle w:val="Hyperlink"/>
          </w:rPr>
          <w:t>https://sourcelive.hr.msu.edu/?p</w:t>
        </w:r>
        <w:r w:rsidRPr="00DC28C3">
          <w:rPr>
            <w:rStyle w:val="Hyperlink"/>
          </w:rPr>
          <w:t>=</w:t>
        </w:r>
        <w:r w:rsidRPr="00DC28C3">
          <w:rPr>
            <w:rStyle w:val="Hyperlink"/>
          </w:rPr>
          <w:t>15086</w:t>
        </w:r>
      </w:hyperlink>
    </w:p>
    <w:p w14:paraId="296ED46B" w14:textId="77777777" w:rsidR="00DC28C3" w:rsidRPr="00DC28C3" w:rsidRDefault="00DC28C3" w:rsidP="00DC28C3">
      <w:pPr>
        <w:rPr>
          <w:b/>
          <w:bCs/>
        </w:rPr>
      </w:pPr>
      <w:r w:rsidRPr="00DC28C3">
        <w:rPr>
          <w:b/>
          <w:bCs/>
        </w:rPr>
        <w:t>UNDERSTANDING WARNING SIGNS: </w:t>
      </w:r>
    </w:p>
    <w:p w14:paraId="43BF6C9F" w14:textId="77777777" w:rsidR="000054A0" w:rsidRPr="00DC28C3" w:rsidRDefault="000054A0" w:rsidP="000054A0">
      <w:r w:rsidRPr="00DC28C3">
        <w:t xml:space="preserve">American Geophysical Union. (2018, June 13). </w:t>
      </w:r>
      <w:r w:rsidRPr="00DC28C3">
        <w:rPr>
          <w:i/>
          <w:iCs/>
        </w:rPr>
        <w:t>Does your institution foster a culture of sexual harassment?</w:t>
      </w:r>
      <w:r w:rsidRPr="00DC28C3">
        <w:t xml:space="preserve"> Eos. </w:t>
      </w:r>
      <w:hyperlink r:id="rId8" w:tgtFrame="_blank" w:history="1">
        <w:r w:rsidRPr="00DC28C3">
          <w:rPr>
            <w:rStyle w:val="Hyperlink"/>
          </w:rPr>
          <w:t>https://eos.org/articles/does-your-institution-foster-a-culture-of-sexual-harassment</w:t>
        </w:r>
      </w:hyperlink>
      <w:r w:rsidRPr="00DC28C3">
        <w:t>  </w:t>
      </w:r>
    </w:p>
    <w:p w14:paraId="1BD7C359" w14:textId="77777777" w:rsidR="00DC28C3" w:rsidRPr="00DC28C3" w:rsidRDefault="00DC28C3" w:rsidP="00DC28C3">
      <w:r w:rsidRPr="00DC28C3">
        <w:t xml:space="preserve">HR Daily Advisor. (2016, December 13). </w:t>
      </w:r>
      <w:r w:rsidRPr="00DC28C3">
        <w:rPr>
          <w:i/>
          <w:iCs/>
        </w:rPr>
        <w:t>9 red flags of a toxic workplace culture</w:t>
      </w:r>
      <w:r w:rsidRPr="00DC28C3">
        <w:t>. https://hrdailyadvisor.blr.com/2016/12/13/9-red-flags-toxic-workplace-culture/ </w:t>
      </w:r>
    </w:p>
    <w:p w14:paraId="3F6DE2D5" w14:textId="77777777" w:rsidR="00DC28C3" w:rsidRPr="00DC28C3" w:rsidRDefault="00DC28C3" w:rsidP="00DC28C3">
      <w:r w:rsidRPr="00DC28C3">
        <w:t xml:space="preserve">Knowledge City. (2020, January 22). </w:t>
      </w:r>
      <w:r w:rsidRPr="00DC28C3">
        <w:rPr>
          <w:i/>
          <w:iCs/>
        </w:rPr>
        <w:t>Work environments that increase chances of sexual harassment.</w:t>
      </w:r>
      <w:r w:rsidRPr="00DC28C3">
        <w:t xml:space="preserve"> Knowledge City Blog. https://www.knowledgecity.com/blog/work-environments-increase-chances-sexual-harassment/ </w:t>
      </w:r>
    </w:p>
    <w:p w14:paraId="1D6D96C0" w14:textId="103D04A4" w:rsidR="00101E90" w:rsidRPr="00101E90" w:rsidRDefault="00DC28C3" w:rsidP="00DC28C3">
      <w:r w:rsidRPr="00DC28C3">
        <w:lastRenderedPageBreak/>
        <w:t>National Academies of Sciences, Engineering, and Medicine. (2018). Sexual harassment of women: Climate, culture, and consequences in academic sciences, engineering, and medicine</w:t>
      </w:r>
      <w:r w:rsidRPr="00DC28C3">
        <w:rPr>
          <w:i/>
          <w:iCs/>
        </w:rPr>
        <w:t>.</w:t>
      </w:r>
      <w:r w:rsidRPr="00DC28C3">
        <w:t xml:space="preserve"> </w:t>
      </w:r>
      <w:r w:rsidRPr="00DC28C3">
        <w:rPr>
          <w:i/>
          <w:iCs/>
        </w:rPr>
        <w:t>The National Academies Press</w:t>
      </w:r>
      <w:r w:rsidRPr="00DC28C3">
        <w:t>. https://doi.org/10.17226/24994 </w:t>
      </w:r>
    </w:p>
    <w:p w14:paraId="6F995CA6" w14:textId="77777777" w:rsidR="00101E90" w:rsidRDefault="00DC28C3" w:rsidP="00DC28C3">
      <w:pPr>
        <w:rPr>
          <w:b/>
          <w:bCs/>
        </w:rPr>
      </w:pPr>
      <w:r w:rsidRPr="00DC28C3">
        <w:rPr>
          <w:b/>
          <w:bCs/>
        </w:rPr>
        <w:t>CONFLICT RESOLUTION &amp; TEAM DYNAMICS: </w:t>
      </w:r>
    </w:p>
    <w:p w14:paraId="4AE89E53" w14:textId="77777777" w:rsidR="000054A0" w:rsidRPr="00DC28C3" w:rsidRDefault="000054A0" w:rsidP="000054A0">
      <w:r w:rsidRPr="00DC28C3">
        <w:t xml:space="preserve">Chhaya, N. (2022, February 14). </w:t>
      </w:r>
      <w:r w:rsidRPr="00DC28C3">
        <w:rPr>
          <w:i/>
          <w:iCs/>
        </w:rPr>
        <w:t>Managing anger, frustration, and resentment on your team</w:t>
      </w:r>
      <w:r w:rsidRPr="00DC28C3">
        <w:t>. Harvard Business Review. https://hbr.org/2022/02/managing-anger-frustration-and-resentment-on-your-team </w:t>
      </w:r>
    </w:p>
    <w:p w14:paraId="593CAEDB" w14:textId="77777777" w:rsidR="000054A0" w:rsidRPr="00DC28C3" w:rsidRDefault="000054A0" w:rsidP="000054A0">
      <w:pPr>
        <w:rPr>
          <w:b/>
          <w:bCs/>
        </w:rPr>
      </w:pPr>
      <w:r w:rsidRPr="00DC28C3">
        <w:t xml:space="preserve">CPP, Inc. (2015). </w:t>
      </w:r>
      <w:r w:rsidRPr="00DC28C3">
        <w:rPr>
          <w:i/>
          <w:iCs/>
        </w:rPr>
        <w:t>The TKI tool: More than conflict management</w:t>
      </w:r>
      <w:r w:rsidRPr="00DC28C3">
        <w:t>. CPP, Inc.</w:t>
      </w:r>
      <w:r w:rsidRPr="00DC28C3">
        <w:rPr>
          <w:b/>
          <w:bCs/>
        </w:rPr>
        <w:t> </w:t>
      </w:r>
    </w:p>
    <w:p w14:paraId="2216D558" w14:textId="77777777" w:rsidR="000054A0" w:rsidRPr="00DC28C3" w:rsidRDefault="000054A0" w:rsidP="000054A0">
      <w:r w:rsidRPr="00DC28C3">
        <w:t xml:space="preserve">Edmondson, A. C. (1999). Psychological safety and learning behavior in work teams. </w:t>
      </w:r>
      <w:r w:rsidRPr="00DC28C3">
        <w:rPr>
          <w:i/>
          <w:iCs/>
        </w:rPr>
        <w:t>Administrative Science Quarterly</w:t>
      </w:r>
      <w:r w:rsidRPr="00DC28C3">
        <w:t xml:space="preserve">, 44(2), 350–383. </w:t>
      </w:r>
      <w:hyperlink r:id="rId9" w:tgtFrame="_blank" w:history="1">
        <w:r w:rsidRPr="00DC28C3">
          <w:rPr>
            <w:rStyle w:val="Hyperlink"/>
          </w:rPr>
          <w:t>https://doi.org/10.2307/2666999</w:t>
        </w:r>
      </w:hyperlink>
      <w:r w:rsidRPr="00DC28C3">
        <w:t> </w:t>
      </w:r>
    </w:p>
    <w:p w14:paraId="729FC72C" w14:textId="77777777" w:rsidR="000054A0" w:rsidRPr="00DC28C3" w:rsidRDefault="000054A0" w:rsidP="000054A0">
      <w:r w:rsidRPr="00DC28C3">
        <w:t xml:space="preserve">Kilmann, R. H. (2023). </w:t>
      </w:r>
      <w:r w:rsidRPr="00DC28C3">
        <w:rPr>
          <w:i/>
          <w:iCs/>
        </w:rPr>
        <w:t>A brief history of the Thomas</w:t>
      </w:r>
      <w:r w:rsidRPr="00DC28C3">
        <w:rPr>
          <w:i/>
          <w:iCs/>
        </w:rPr>
        <w:noBreakHyphen/>
        <w:t>Kilmann Conflict Mode Instrument</w:t>
      </w:r>
      <w:r w:rsidRPr="00DC28C3">
        <w:t>. Kilmann Diagnostics. https://kilmanndiagnostics.com/a-brief-history-of-the-thomas-kilmann-conflict-mode-instrument/ </w:t>
      </w:r>
    </w:p>
    <w:p w14:paraId="429DCD1E" w14:textId="06B17209" w:rsidR="00DC28C3" w:rsidRPr="00DC28C3" w:rsidRDefault="00DC28C3" w:rsidP="00DC28C3">
      <w:pPr>
        <w:rPr>
          <w:b/>
          <w:bCs/>
        </w:rPr>
      </w:pPr>
      <w:r w:rsidRPr="00DC28C3">
        <w:t xml:space="preserve">Thomas, K. W., &amp; Kilmann, R. H. (1974). </w:t>
      </w:r>
      <w:r w:rsidRPr="00DC28C3">
        <w:rPr>
          <w:i/>
          <w:iCs/>
        </w:rPr>
        <w:t>Thomas-Kilmann conflict mode instrument</w:t>
      </w:r>
      <w:r w:rsidRPr="00DC28C3">
        <w:t xml:space="preserve">. </w:t>
      </w:r>
      <w:proofErr w:type="spellStart"/>
      <w:r w:rsidRPr="00DC28C3">
        <w:t>Xicom</w:t>
      </w:r>
      <w:proofErr w:type="spellEnd"/>
      <w:r w:rsidR="00B24E51">
        <w:t xml:space="preserve"> Incorporated</w:t>
      </w:r>
      <w:r w:rsidRPr="00DC28C3">
        <w:t>.</w:t>
      </w:r>
      <w:r w:rsidRPr="00DC28C3">
        <w:rPr>
          <w:b/>
          <w:bCs/>
        </w:rPr>
        <w:t> </w:t>
      </w:r>
    </w:p>
    <w:p w14:paraId="52970B26" w14:textId="77777777" w:rsidR="00DC28C3" w:rsidRPr="00DC28C3" w:rsidRDefault="00DC28C3" w:rsidP="00DC28C3">
      <w:r w:rsidRPr="00DC28C3">
        <w:t xml:space="preserve">van der Kolk, B. (2014). </w:t>
      </w:r>
      <w:r w:rsidRPr="00DC28C3">
        <w:rPr>
          <w:i/>
          <w:iCs/>
        </w:rPr>
        <w:t>The body keeps the score: Brain, mind, and body in the healing of trauma</w:t>
      </w:r>
      <w:r w:rsidRPr="00DC28C3">
        <w:t>. Viking. </w:t>
      </w:r>
    </w:p>
    <w:p w14:paraId="079392BD" w14:textId="77777777" w:rsidR="00DC28C3" w:rsidRPr="00DC28C3" w:rsidRDefault="00DC28C3" w:rsidP="00DC28C3">
      <w:pPr>
        <w:rPr>
          <w:b/>
          <w:bCs/>
        </w:rPr>
      </w:pPr>
      <w:r w:rsidRPr="00DC28C3">
        <w:rPr>
          <w:b/>
          <w:bCs/>
        </w:rPr>
        <w:t>VALUES-BASED &amp; INCLUSIVE LEADERSHIP: </w:t>
      </w:r>
    </w:p>
    <w:p w14:paraId="01BE8770" w14:textId="77777777" w:rsidR="000054A0" w:rsidRPr="00DC28C3" w:rsidRDefault="000054A0" w:rsidP="000054A0">
      <w:r w:rsidRPr="00DC28C3">
        <w:t xml:space="preserve">Ahmed, S. (2012). </w:t>
      </w:r>
      <w:r w:rsidRPr="00DC28C3">
        <w:rPr>
          <w:i/>
          <w:iCs/>
        </w:rPr>
        <w:t>On being included: Racism and diversity in institutional life</w:t>
      </w:r>
      <w:r w:rsidRPr="00DC28C3">
        <w:t>. Duke University Press. </w:t>
      </w:r>
    </w:p>
    <w:p w14:paraId="4E5DC21B" w14:textId="77777777" w:rsidR="000054A0" w:rsidRPr="00DC28C3" w:rsidRDefault="000054A0" w:rsidP="000054A0">
      <w:r w:rsidRPr="00DC28C3">
        <w:t xml:space="preserve">Brown, B. (2018). </w:t>
      </w:r>
      <w:r w:rsidRPr="00DC28C3">
        <w:rPr>
          <w:i/>
          <w:iCs/>
        </w:rPr>
        <w:t>Dare to lead: Brave work. Tough conversations. Whole hearts</w:t>
      </w:r>
      <w:r w:rsidRPr="00DC28C3">
        <w:t>. Random House. </w:t>
      </w:r>
    </w:p>
    <w:p w14:paraId="73572FDB" w14:textId="77777777" w:rsidR="000054A0" w:rsidRPr="00DC28C3" w:rsidRDefault="000054A0" w:rsidP="000054A0">
      <w:r w:rsidRPr="00DC28C3">
        <w:t>Fritz, M.</w:t>
      </w:r>
      <w:r w:rsidRPr="00DC28C3">
        <w:rPr>
          <w:rFonts w:ascii="Arial" w:hAnsi="Arial" w:cs="Arial"/>
        </w:rPr>
        <w:t> </w:t>
      </w:r>
      <w:r w:rsidRPr="00DC28C3">
        <w:t>R., &amp; Guthrie, K.</w:t>
      </w:r>
      <w:r w:rsidRPr="00DC28C3">
        <w:rPr>
          <w:rFonts w:ascii="Arial" w:hAnsi="Arial" w:cs="Arial"/>
        </w:rPr>
        <w:t> </w:t>
      </w:r>
      <w:r w:rsidRPr="00DC28C3">
        <w:t xml:space="preserve">L. (2017). Values clarification: Essential for leadership learning. </w:t>
      </w:r>
      <w:r w:rsidRPr="00DC28C3">
        <w:rPr>
          <w:i/>
          <w:iCs/>
        </w:rPr>
        <w:t>Journal of Leadership Education</w:t>
      </w:r>
      <w:r w:rsidRPr="00DC28C3">
        <w:t>, 16(1), 47</w:t>
      </w:r>
      <w:r w:rsidRPr="00DC28C3">
        <w:rPr>
          <w:rFonts w:ascii="Aptos" w:hAnsi="Aptos" w:cs="Aptos"/>
        </w:rPr>
        <w:t>–</w:t>
      </w:r>
      <w:r w:rsidRPr="00DC28C3">
        <w:t>63</w:t>
      </w:r>
      <w:r>
        <w:t>.</w:t>
      </w:r>
      <w:r w:rsidRPr="00DC28C3">
        <w:t> </w:t>
      </w:r>
    </w:p>
    <w:p w14:paraId="56CCCB07" w14:textId="77777777" w:rsidR="000054A0" w:rsidRPr="00DC28C3" w:rsidRDefault="000054A0" w:rsidP="000054A0">
      <w:r w:rsidRPr="00DC28C3">
        <w:t xml:space="preserve">Heifetz, R. A., &amp; Linsky, M. (2002). </w:t>
      </w:r>
      <w:r w:rsidRPr="00DC28C3">
        <w:rPr>
          <w:i/>
          <w:iCs/>
        </w:rPr>
        <w:t>Leadership on the line: Staying alive through the dangers of leading</w:t>
      </w:r>
      <w:r w:rsidRPr="00DC28C3">
        <w:t>. Harvard Business Review Press.  </w:t>
      </w:r>
    </w:p>
    <w:p w14:paraId="4C7D05CC" w14:textId="77777777" w:rsidR="000054A0" w:rsidRPr="00DC28C3" w:rsidRDefault="000054A0" w:rsidP="000054A0">
      <w:r w:rsidRPr="00DC28C3">
        <w:t xml:space="preserve">Peregrym, D., &amp; Wollf, R. (2013). Values-based leadership: The foundation of transformational servant leadership. </w:t>
      </w:r>
      <w:r w:rsidRPr="00DC28C3">
        <w:rPr>
          <w:i/>
          <w:iCs/>
        </w:rPr>
        <w:t>The Journal of Values-Based Leadership</w:t>
      </w:r>
      <w:r w:rsidRPr="00DC28C3">
        <w:t>, 6(2),</w:t>
      </w:r>
      <w:r>
        <w:t xml:space="preserve"> 1-13.</w:t>
      </w:r>
      <w:r w:rsidRPr="00DC28C3">
        <w:t xml:space="preserve"> https://scholar.valpo.edu/jvbl/vol6/iss2/7/ </w:t>
      </w:r>
    </w:p>
    <w:p w14:paraId="46E793FB" w14:textId="77777777" w:rsidR="000054A0" w:rsidRPr="00DC28C3" w:rsidRDefault="000054A0" w:rsidP="000054A0">
      <w:r w:rsidRPr="00DC28C3">
        <w:t>Spears, L. C. (1995</w:t>
      </w:r>
      <w:r w:rsidRPr="00DC28C3">
        <w:rPr>
          <w:i/>
          <w:iCs/>
        </w:rPr>
        <w:t>). Reflections on leadership: How Robert K. Greenleaf’s theory of servant leadership influenced today’s top management thinkers</w:t>
      </w:r>
      <w:r w:rsidRPr="00DC28C3">
        <w:t>. John Wiley &amp; Sons. </w:t>
      </w:r>
    </w:p>
    <w:p w14:paraId="13F044E7" w14:textId="77777777" w:rsidR="000054A0" w:rsidRPr="00DC28C3" w:rsidRDefault="000054A0" w:rsidP="000054A0">
      <w:proofErr w:type="spellStart"/>
      <w:r w:rsidRPr="00DC28C3">
        <w:lastRenderedPageBreak/>
        <w:t>Tervalon</w:t>
      </w:r>
      <w:proofErr w:type="spellEnd"/>
      <w:r w:rsidRPr="00DC28C3">
        <w:t xml:space="preserve">, M., &amp; Murray-García, J. (1998). Cultural humility versus cultural competence: A critical distinction in defining physician training outcomes in multicultural education. </w:t>
      </w:r>
      <w:r w:rsidRPr="00DC28C3">
        <w:rPr>
          <w:i/>
          <w:iCs/>
        </w:rPr>
        <w:t>Journal of Health Care for the Poor and Underserved</w:t>
      </w:r>
      <w:r w:rsidRPr="00DC28C3">
        <w:t xml:space="preserve">, 9(2), 117–125. </w:t>
      </w:r>
      <w:hyperlink r:id="rId10" w:tgtFrame="_blank" w:history="1">
        <w:r w:rsidRPr="00DC28C3">
          <w:rPr>
            <w:rStyle w:val="Hyperlink"/>
          </w:rPr>
          <w:t>https://doi.org/10.1353/hpu.2010.0233</w:t>
        </w:r>
      </w:hyperlink>
      <w:r w:rsidRPr="00DC28C3">
        <w:t>  </w:t>
      </w:r>
    </w:p>
    <w:p w14:paraId="43711FA5" w14:textId="57512B99" w:rsidR="00DC28C3" w:rsidRPr="00DC28C3" w:rsidRDefault="00DC28C3" w:rsidP="00DC28C3">
      <w:r w:rsidRPr="00DC28C3">
        <w:t xml:space="preserve">Yelvington, J. (2020, June 4). </w:t>
      </w:r>
      <w:r w:rsidRPr="00DC28C3">
        <w:rPr>
          <w:i/>
          <w:iCs/>
        </w:rPr>
        <w:t>Inclusive leadership: Starting with self-reflection</w:t>
      </w:r>
      <w:r w:rsidRPr="00DC28C3">
        <w:t>. MSU Human Resources</w:t>
      </w:r>
      <w:r w:rsidR="000054A0">
        <w:t xml:space="preserve"> </w:t>
      </w:r>
      <w:proofErr w:type="spellStart"/>
      <w:r w:rsidR="000054A0">
        <w:t>SourceLive</w:t>
      </w:r>
      <w:proofErr w:type="spellEnd"/>
      <w:r w:rsidRPr="00DC28C3">
        <w:t xml:space="preserve">. </w:t>
      </w:r>
      <w:hyperlink r:id="rId11" w:tgtFrame="_blank" w:history="1">
        <w:r w:rsidRPr="00DC28C3">
          <w:rPr>
            <w:rStyle w:val="Hyperlink"/>
          </w:rPr>
          <w:t>https://sourcelive.hr.msu.edu/?p=15004</w:t>
        </w:r>
      </w:hyperlink>
      <w:r w:rsidRPr="00DC28C3">
        <w:t> </w:t>
      </w:r>
    </w:p>
    <w:p w14:paraId="6AF06BA2" w14:textId="77777777" w:rsidR="00DC28C3" w:rsidRPr="00DC28C3" w:rsidRDefault="00DC28C3" w:rsidP="00DC28C3">
      <w:r w:rsidRPr="00DC28C3">
        <w:t xml:space="preserve">Young, M. D., &amp; Arnold, N. W. (2020, June 30). An emerging framework for inclusive educational leadership. In A. C. Fore (Ed.), </w:t>
      </w:r>
      <w:r w:rsidRPr="00DC28C3">
        <w:rPr>
          <w:i/>
          <w:iCs/>
        </w:rPr>
        <w:t>Encyclopedia of Education Leadership and Administration</w:t>
      </w:r>
      <w:r w:rsidRPr="00DC28C3">
        <w:t>. https://doi.org/10.1093/acrefore/9780190264093.013.987 </w:t>
      </w:r>
    </w:p>
    <w:p w14:paraId="56CD6249" w14:textId="76A52712" w:rsidR="00DC28C3" w:rsidRPr="00DC28C3" w:rsidRDefault="00DC28C3" w:rsidP="00DC28C3">
      <w:r w:rsidRPr="00DC28C3">
        <w:rPr>
          <w:b/>
          <w:bCs/>
        </w:rPr>
        <w:t>TRAUMA-INFORED PRACTICES &amp; PSYCHOLOGICAL SAFETY:</w:t>
      </w:r>
      <w:r w:rsidRPr="00DC28C3">
        <w:t>   </w:t>
      </w:r>
    </w:p>
    <w:p w14:paraId="20407273" w14:textId="694F91B1" w:rsidR="00DC28C3" w:rsidRPr="00DC28C3" w:rsidRDefault="00DC28C3" w:rsidP="00DC28C3">
      <w:r w:rsidRPr="00DC28C3">
        <w:t xml:space="preserve">Gallo, A. (2023, February 15). </w:t>
      </w:r>
      <w:r w:rsidRPr="00DC28C3">
        <w:rPr>
          <w:i/>
          <w:iCs/>
        </w:rPr>
        <w:t>What is psychological safety</w:t>
      </w:r>
      <w:r w:rsidRPr="00DC28C3">
        <w:t xml:space="preserve">? Harvard Business Review. </w:t>
      </w:r>
      <w:hyperlink r:id="rId12" w:tgtFrame="_blank" w:history="1">
        <w:r w:rsidRPr="00DC28C3">
          <w:rPr>
            <w:rStyle w:val="Hyperlink"/>
          </w:rPr>
          <w:t>https://hbr.org/2023/02/what-is-psychological-safety</w:t>
        </w:r>
      </w:hyperlink>
      <w:r w:rsidRPr="00DC28C3">
        <w:t> </w:t>
      </w:r>
    </w:p>
    <w:p w14:paraId="3B11415A" w14:textId="77777777" w:rsidR="000054A0" w:rsidRDefault="000054A0" w:rsidP="000054A0">
      <w:r w:rsidRPr="00DC28C3">
        <w:t xml:space="preserve">Generation FIVE. (n.d.). </w:t>
      </w:r>
      <w:r w:rsidRPr="00DC28C3">
        <w:rPr>
          <w:i/>
          <w:iCs/>
        </w:rPr>
        <w:t>Transformative justice: A brief description</w:t>
      </w:r>
      <w:r w:rsidRPr="00DC28C3">
        <w:t xml:space="preserve">. TransformHarm.org. </w:t>
      </w:r>
      <w:hyperlink r:id="rId13" w:tgtFrame="_blank" w:history="1">
        <w:r w:rsidRPr="00DC28C3">
          <w:rPr>
            <w:rStyle w:val="Hyperlink"/>
          </w:rPr>
          <w:t>https://transformharm.org/tj_resource/transformative-justice-a-brief-description/</w:t>
        </w:r>
      </w:hyperlink>
    </w:p>
    <w:p w14:paraId="3969CDFB" w14:textId="2004F5A2" w:rsidR="000054A0" w:rsidRPr="00DC28C3" w:rsidRDefault="000054A0" w:rsidP="000054A0">
      <w:r w:rsidRPr="00DC28C3">
        <w:t xml:space="preserve">Substance Abuse and Mental Health Services Administration. (2014). </w:t>
      </w:r>
      <w:r w:rsidRPr="00DC28C3">
        <w:rPr>
          <w:i/>
          <w:iCs/>
        </w:rPr>
        <w:t xml:space="preserve">SAMHSA’s concept of trauma and guidance for a trauma-informed approach. </w:t>
      </w:r>
      <w:r w:rsidRPr="00DC28C3">
        <w:t>U.S. Department of Health and Human Services. </w:t>
      </w:r>
    </w:p>
    <w:p w14:paraId="637356C7" w14:textId="2B0FF438" w:rsidR="00DC28C3" w:rsidRPr="00DC28C3" w:rsidRDefault="00DC28C3" w:rsidP="00DC28C3"/>
    <w:p w14:paraId="5AD5088D" w14:textId="77777777" w:rsidR="00DC28C3" w:rsidRPr="00DC28C3" w:rsidRDefault="00DC28C3" w:rsidP="00DC28C3">
      <w:r w:rsidRPr="00DC28C3">
        <w:t> </w:t>
      </w:r>
    </w:p>
    <w:p w14:paraId="39B5F785" w14:textId="77777777" w:rsidR="00DC28C3" w:rsidRPr="00DC28C3" w:rsidRDefault="00DC28C3" w:rsidP="00DC28C3">
      <w:r w:rsidRPr="00DC28C3">
        <w:t> </w:t>
      </w:r>
    </w:p>
    <w:p w14:paraId="79A9F099" w14:textId="77777777" w:rsidR="00A56D08" w:rsidRDefault="00A56D08"/>
    <w:sectPr w:rsidR="00A56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C3"/>
    <w:rsid w:val="000054A0"/>
    <w:rsid w:val="00101E90"/>
    <w:rsid w:val="005027E7"/>
    <w:rsid w:val="007743A7"/>
    <w:rsid w:val="009D1681"/>
    <w:rsid w:val="00A56D08"/>
    <w:rsid w:val="00B24E51"/>
    <w:rsid w:val="00B47CC4"/>
    <w:rsid w:val="00CA5031"/>
    <w:rsid w:val="00DB0828"/>
    <w:rsid w:val="00DC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3ACD"/>
  <w15:chartTrackingRefBased/>
  <w15:docId w15:val="{D57EA58B-9CF3-4ACE-8FAF-B832673A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8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28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8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28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s.org/articles/does-your-institution-foster-a-culture-of-sexual-harassment" TargetMode="External"/><Relationship Id="rId13" Type="http://schemas.openxmlformats.org/officeDocument/2006/relationships/hyperlink" Target="https://transformharm.org/tj_resource/transformative-justice-a-brief-descrip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urcelive.hr.msu.edu/?p=15086" TargetMode="External"/><Relationship Id="rId12" Type="http://schemas.openxmlformats.org/officeDocument/2006/relationships/hyperlink" Target="https://hbr.org/2023/02/what-is-psychological-safe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wspace.com/blog/changing-organizational-culture-complete-guide/" TargetMode="External"/><Relationship Id="rId11" Type="http://schemas.openxmlformats.org/officeDocument/2006/relationships/hyperlink" Target="https://sourcelive.hr.msu.edu/?p=15004" TargetMode="External"/><Relationship Id="rId5" Type="http://schemas.openxmlformats.org/officeDocument/2006/relationships/hyperlink" Target="https://doi.org/10.2307/122903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353/hpu.2010.0233" TargetMode="External"/><Relationship Id="rId4" Type="http://schemas.openxmlformats.org/officeDocument/2006/relationships/hyperlink" Target="https://doi.org/10.5038/2640-6489.6.1.1148" TargetMode="External"/><Relationship Id="rId9" Type="http://schemas.openxmlformats.org/officeDocument/2006/relationships/hyperlink" Target="https://doi.org/10.2307/26669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Lydia</dc:creator>
  <cp:keywords/>
  <dc:description/>
  <cp:lastModifiedBy>Weiss, Lydia</cp:lastModifiedBy>
  <cp:revision>1</cp:revision>
  <dcterms:created xsi:type="dcterms:W3CDTF">2025-10-22T15:51:00Z</dcterms:created>
  <dcterms:modified xsi:type="dcterms:W3CDTF">2025-10-22T17:17:00Z</dcterms:modified>
</cp:coreProperties>
</file>