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Psychology 200-001: Cognitive Psychology</w:t>
      </w:r>
    </w:p>
    <w:p>
      <w:pPr>
        <w:jc w:val="center"/>
      </w:pPr>
      <w:r>
        <w:rPr>
          <w:b/>
          <w:sz w:val="26"/>
        </w:rPr>
        <w:t>Fall Semester 2026</w:t>
      </w:r>
    </w:p>
    <w:p>
      <w:pPr>
        <w:jc w:val="center"/>
      </w:pPr>
      <w:r>
        <w:rPr>
          <w:b/>
        </w:rPr>
        <w:t>Mondays and Wednesdays, 8:30–9:50 AM | Computer Center 402</w:t>
      </w:r>
    </w:p>
    <w:p>
      <w:pPr>
        <w:jc w:val="center"/>
      </w:pPr>
      <w:r>
        <w:t>Online information: D2L course FS26-PSY-200-001 Cognitive Psychology</w:t>
      </w:r>
    </w:p>
    <w:p>
      <w:pPr>
        <w:pStyle w:val="Heading1"/>
      </w:pPr>
      <w:r>
        <w:t>General information</w:t>
      </w:r>
    </w:p>
    <w:p>
      <w:r>
        <w:rPr>
          <w:b/>
        </w:rPr>
        <w:t xml:space="preserve">Instructors: </w:t>
      </w:r>
      <w:r>
        <w:t>Jan Brascamp (course instructor; brascamp@msu.edu), Woojin Jeong (graduate TA; jeongwo6@msu.edu), Emma Schrum (undergraduate assistant; schrume1@msu.edu), and Michael Salem (undergraduate assistant; salemmi1@msu.edu).</w:t>
      </w:r>
    </w:p>
    <w:p>
      <w:r>
        <w:rPr>
          <w:b/>
        </w:rPr>
        <w:t xml:space="preserve">Course description and objectives: </w:t>
      </w:r>
      <w:r>
        <w:t>This course is an introduction to the field of cognitive psychology and will provide an overview of the major theories, findings and methods of the cognitive approach. Cognitive psychology views the mind as an information processing system and attempts to discover and explain the mental processes underlying perception, attention, memory, language, thinking, and decision making. The course will also introduce a number of different methods that are used to investigate brain processes and their functions. At the end of the course, you should be familiar with the main theories, methods, and findings of cognitive psychology.</w:t>
      </w:r>
    </w:p>
    <w:p>
      <w:r>
        <w:rPr>
          <w:b/>
        </w:rPr>
        <w:t xml:space="preserve">Prerequisite: </w:t>
      </w:r>
      <w:r>
        <w:t>PSY 101.</w:t>
      </w:r>
    </w:p>
    <w:p>
      <w:r>
        <w:rPr>
          <w:b/>
        </w:rPr>
        <w:t xml:space="preserve">Recommended text and assigned reading: </w:t>
      </w:r>
      <w:r>
        <w:t xml:space="preserve">The recommended text is </w:t>
      </w:r>
      <w:r>
        <w:rPr>
          <w:i/>
        </w:rPr>
        <w:t>Cognitive Psychology: Connecting Mind, Research, and Everyday Experience</w:t>
      </w:r>
      <w:r>
        <w:t xml:space="preserve"> by E. Bruce Goldstein. Both the 4th and 5th edition are suitable. The text is not required, and the exams are only about material that came up during the lectures. If you do decide to use the book, then it is a good idea to keep up with reading at the pace indicated in the course schedule below, because the recommended reading will match the material of the associated lectures.</w:t>
      </w:r>
    </w:p>
    <w:p>
      <w:r>
        <w:rPr>
          <w:b/>
        </w:rPr>
        <w:t xml:space="preserve">Online or in-person? </w:t>
      </w:r>
      <w:r>
        <w:t>This is an in-person course. Lectures and exams will be in person. No lecture videos will be posted online, but a substantial proportion of course content and communication will be available via the internet. All lecture slides (but no lecture videos) will be posted on D2L ahead of lectures, and a study guide will be posted ahead of each exam. As part of this course you will also complete cognitive psychology experiments in your browser.</w:t>
      </w:r>
    </w:p>
    <w:p>
      <w:r>
        <w:rPr>
          <w:b/>
        </w:rPr>
        <w:t xml:space="preserve">Accommodations for Students with Disabilities: </w:t>
      </w:r>
      <w: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through the </w:t>
      </w:r>
      <w:hyperlink r:id="rId11">
        <w:r>
          <w:rPr>
            <w:color w:val="0563C1"/>
            <w:u w:val="single"/>
          </w:rPr>
          <w:t>MSU Resource Center for Persons with Disabilities</w:t>
        </w:r>
      </w:hyperlink>
      <w:r>
        <w:t>. Once your eligibility for an accommodation has been determined, you will be issued a Verified Individual Services Accommodation (VISA). Please present this to me at the start of the term and/or two weeks prior to the accommodation date. Requests received later may not be honored. If you require testing accommodations, please contact me and send your VISA well ahead of the test date.</w:t>
      </w:r>
    </w:p>
    <w:p>
      <w:r>
        <w:rPr>
          <w:b/>
        </w:rPr>
        <w:t xml:space="preserve">Honors option: </w:t>
      </w:r>
      <w:r>
        <w:t>This course has an honors option. Please email the course instructor if you are interested in learning more.</w:t>
      </w:r>
    </w:p>
    <w:p>
      <w:pPr>
        <w:pStyle w:val="Heading1"/>
      </w:pPr>
      <w:r>
        <w:t>Where to get course information during the semester</w:t>
      </w:r>
    </w:p>
    <w:p>
      <w:r>
        <w:rPr>
          <w:b/>
        </w:rPr>
        <w:t xml:space="preserve">D2L: </w:t>
      </w:r>
      <w:r>
        <w:t xml:space="preserve">Aside from communication inside the classroom, almost all communication for this course will run through the D2L course page: look for </w:t>
      </w:r>
      <w:r>
        <w:rPr>
          <w:i/>
        </w:rPr>
        <w:t>FS26-PSY-200-001 Cognitive Psychology</w:t>
      </w:r>
      <w:r>
        <w:t>. You will need to make sure you receive D2L emails, and you will find yourself logging into D2L frequently throughout the semester.</w:t>
      </w:r>
    </w:p>
    <w:p>
      <w:r>
        <w:rPr>
          <w:b/>
        </w:rPr>
        <w:t xml:space="preserve">D2L email: </w:t>
      </w:r>
      <w:r>
        <w:t>Important course information will be sent via D2L email, so make sure you do not miss D2L messages. I recommend setting up D2L to forward D2L emails to your regular inbox. In D2L, navigate to Help &gt; MSU Documentation &gt; D2L Tools and Tips at MSU &gt; D2L Email Forwarding. If you instead use the D2L email interface, make sure the 'Filter By:' field is set to 'All Messages'.</w:t>
      </w:r>
    </w:p>
    <w:p>
      <w:r>
        <w:rPr>
          <w:b/>
        </w:rPr>
        <w:t xml:space="preserve">Questions about Sona: </w:t>
      </w:r>
      <w:r>
        <w:t>The Sona system is a department-wide system. For questions about research participation / the Sona system, please contact the Research Participation Coordinator, Ms. Audra Jeffrey, at jeffre22@msu.edu.</w:t>
      </w:r>
    </w:p>
    <w:p>
      <w:r>
        <w:rPr>
          <w:b/>
        </w:rPr>
        <w:t xml:space="preserve">Getting help, and office hours: </w:t>
      </w:r>
      <w:r>
        <w:t>For questions that have a short answer and that are not about the Sona system, you can talk to us after class or email one of the course instructors. For questions that require more interaction, please use one of the office-hour options below.</w:t>
      </w:r>
    </w:p>
    <w:tbl>
      <w:tblPr>
        <w:tblStyle w:val="TableGrid"/>
        <w:tblW w:type="auto" w:w="0"/>
        <w:jc w:val="center"/>
        <w:tblLook w:firstColumn="1" w:firstRow="1" w:lastColumn="0" w:lastRow="0" w:noHBand="0" w:noVBand="1" w:val="04A0"/>
        <w:tblCaption w:val="Course office hours"/>
        <w:tblDescription w:val="Office-hour options, instructor in attendance, and appointment contact information."/>
      </w:tblPr>
      <w:tblGrid>
        <w:gridCol w:w="3360"/>
        <w:gridCol w:w="3360"/>
        <w:gridCol w:w="3360"/>
      </w:tblGrid>
      <w:tr>
        <w:trPr>
          <w:tblHeader w:val="true"/>
          <w:cantSplit/>
        </w:trPr>
        <w:tc>
          <w:tcPr>
            <w:tcW w:type="dxa" w:w="3360"/>
            <w:vAlign w:val="center"/>
            <w:shd w:fill="D9EAD3"/>
          </w:tcPr>
          <w:p>
            <w:pPr>
              <w:spacing w:after="0"/>
            </w:pPr>
            <w:r>
              <w:rPr>
                <w:rFonts w:ascii="Arial" w:hAnsi="Arial"/>
                <w:sz w:val="18"/>
              </w:rPr>
            </w:r>
            <w:r>
              <w:rPr>
                <w:rFonts w:ascii="Arial" w:hAnsi="Arial"/>
                <w:b/>
                <w:sz w:val="18"/>
              </w:rPr>
              <w:t>Time and day</w:t>
            </w:r>
          </w:p>
        </w:tc>
        <w:tc>
          <w:tcPr>
            <w:tcW w:type="dxa" w:w="3360"/>
            <w:vAlign w:val="center"/>
            <w:shd w:fill="D9EAD3"/>
          </w:tcPr>
          <w:p>
            <w:pPr>
              <w:spacing w:after="0"/>
            </w:pPr>
            <w:r>
              <w:rPr>
                <w:rFonts w:ascii="Arial" w:hAnsi="Arial"/>
                <w:sz w:val="18"/>
              </w:rPr>
            </w:r>
            <w:r>
              <w:rPr>
                <w:rFonts w:ascii="Arial" w:hAnsi="Arial"/>
                <w:b/>
                <w:sz w:val="18"/>
              </w:rPr>
              <w:t>Instructor in attendance</w:t>
            </w:r>
          </w:p>
        </w:tc>
        <w:tc>
          <w:tcPr>
            <w:tcW w:type="dxa" w:w="3360"/>
            <w:vAlign w:val="center"/>
            <w:shd w:fill="D9EAD3"/>
          </w:tcPr>
          <w:p>
            <w:pPr>
              <w:spacing w:after="0"/>
            </w:pPr>
            <w:r>
              <w:rPr>
                <w:rFonts w:ascii="Arial" w:hAnsi="Arial"/>
                <w:sz w:val="18"/>
              </w:rPr>
            </w:r>
            <w:r>
              <w:rPr>
                <w:rFonts w:ascii="Arial" w:hAnsi="Arial"/>
                <w:b/>
                <w:sz w:val="18"/>
              </w:rPr>
              <w:t>Contact information for appointment</w:t>
            </w:r>
          </w:p>
        </w:tc>
      </w:tr>
      <w:tr>
        <w:trPr>
          <w:cantSplit/>
        </w:trPr>
        <w:tc>
          <w:tcPr>
            <w:tcW w:type="dxa" w:w="3360"/>
            <w:vAlign w:val="center"/>
          </w:tcPr>
          <w:p>
            <w:pPr>
              <w:spacing w:after="0"/>
            </w:pPr>
            <w:r>
              <w:rPr>
                <w:rFonts w:ascii="Arial" w:hAnsi="Arial"/>
                <w:sz w:val="18"/>
              </w:rPr>
            </w:r>
            <w:r>
              <w:rPr>
                <w:rFonts w:ascii="Arial" w:hAnsi="Arial"/>
                <w:b w:val="0"/>
                <w:sz w:val="18"/>
              </w:rPr>
              <w:t>In person, by appointment</w:t>
            </w:r>
          </w:p>
        </w:tc>
        <w:tc>
          <w:tcPr>
            <w:tcW w:type="dxa" w:w="3360"/>
            <w:vAlign w:val="center"/>
          </w:tcPr>
          <w:p>
            <w:pPr>
              <w:spacing w:after="0"/>
            </w:pPr>
            <w:r>
              <w:rPr>
                <w:rFonts w:ascii="Arial" w:hAnsi="Arial"/>
                <w:sz w:val="18"/>
              </w:rPr>
            </w:r>
            <w:r>
              <w:rPr>
                <w:rFonts w:ascii="Arial" w:hAnsi="Arial"/>
                <w:b w:val="0"/>
                <w:sz w:val="18"/>
              </w:rPr>
              <w:t>Course instructor: Jan Brascamp</w:t>
            </w:r>
          </w:p>
        </w:tc>
        <w:tc>
          <w:tcPr>
            <w:tcW w:type="dxa" w:w="3360"/>
            <w:vAlign w:val="center"/>
          </w:tcPr>
          <w:p>
            <w:pPr>
              <w:spacing w:after="0"/>
            </w:pPr>
            <w:r>
              <w:rPr>
                <w:rFonts w:ascii="Arial" w:hAnsi="Arial"/>
                <w:sz w:val="18"/>
              </w:rPr>
            </w:r>
            <w:r>
              <w:rPr>
                <w:rFonts w:ascii="Arial" w:hAnsi="Arial"/>
                <w:b w:val="0"/>
                <w:sz w:val="18"/>
              </w:rPr>
              <w:t>brascamp@msu.edu</w:t>
            </w:r>
          </w:p>
        </w:tc>
      </w:tr>
      <w:tr>
        <w:trPr>
          <w:cantSplit/>
        </w:trPr>
        <w:tc>
          <w:tcPr>
            <w:tcW w:type="dxa" w:w="3360"/>
            <w:vAlign w:val="center"/>
          </w:tcPr>
          <w:p>
            <w:pPr>
              <w:spacing w:after="0"/>
            </w:pPr>
            <w:r>
              <w:rPr>
                <w:rFonts w:ascii="Arial" w:hAnsi="Arial"/>
                <w:sz w:val="18"/>
              </w:rPr>
            </w:r>
            <w:r>
              <w:rPr>
                <w:rFonts w:ascii="Arial" w:hAnsi="Arial"/>
                <w:b w:val="0"/>
                <w:sz w:val="18"/>
              </w:rPr>
              <w:t>In person, by appointment</w:t>
            </w:r>
          </w:p>
        </w:tc>
        <w:tc>
          <w:tcPr>
            <w:tcW w:type="dxa" w:w="3360"/>
            <w:vAlign w:val="center"/>
          </w:tcPr>
          <w:p>
            <w:pPr>
              <w:spacing w:after="0"/>
            </w:pPr>
            <w:r>
              <w:rPr>
                <w:rFonts w:ascii="Arial" w:hAnsi="Arial"/>
                <w:sz w:val="18"/>
              </w:rPr>
            </w:r>
            <w:r>
              <w:rPr>
                <w:rFonts w:ascii="Arial" w:hAnsi="Arial"/>
                <w:b w:val="0"/>
                <w:sz w:val="18"/>
              </w:rPr>
              <w:t>Graduate TA: Woojin Jeong</w:t>
            </w:r>
          </w:p>
        </w:tc>
        <w:tc>
          <w:tcPr>
            <w:tcW w:type="dxa" w:w="3360"/>
            <w:vAlign w:val="center"/>
          </w:tcPr>
          <w:p>
            <w:pPr>
              <w:spacing w:after="0"/>
            </w:pPr>
            <w:r>
              <w:rPr>
                <w:rFonts w:ascii="Arial" w:hAnsi="Arial"/>
                <w:sz w:val="18"/>
              </w:rPr>
            </w:r>
            <w:r>
              <w:rPr>
                <w:rFonts w:ascii="Arial" w:hAnsi="Arial"/>
                <w:b w:val="0"/>
                <w:sz w:val="18"/>
              </w:rPr>
              <w:t>jeongwo6@msu.edu</w:t>
            </w:r>
          </w:p>
        </w:tc>
      </w:tr>
      <w:tr>
        <w:trPr>
          <w:cantSplit/>
        </w:trPr>
        <w:tc>
          <w:tcPr>
            <w:tcW w:type="dxa" w:w="3360"/>
            <w:vAlign w:val="center"/>
          </w:tcPr>
          <w:p>
            <w:pPr>
              <w:spacing w:after="0"/>
            </w:pPr>
            <w:r>
              <w:rPr>
                <w:rFonts w:ascii="Arial" w:hAnsi="Arial"/>
                <w:sz w:val="18"/>
              </w:rPr>
            </w:r>
            <w:r>
              <w:rPr>
                <w:rFonts w:ascii="Arial" w:hAnsi="Arial"/>
                <w:b w:val="0"/>
                <w:sz w:val="18"/>
              </w:rPr>
              <w:t>Online Zoom office hour: TBA</w:t>
            </w:r>
          </w:p>
        </w:tc>
        <w:tc>
          <w:tcPr>
            <w:tcW w:type="dxa" w:w="3360"/>
            <w:vAlign w:val="center"/>
          </w:tcPr>
          <w:p>
            <w:pPr>
              <w:spacing w:after="0"/>
            </w:pPr>
            <w:r>
              <w:rPr>
                <w:rFonts w:ascii="Arial" w:hAnsi="Arial"/>
                <w:sz w:val="18"/>
              </w:rPr>
            </w:r>
            <w:r>
              <w:rPr>
                <w:rFonts w:ascii="Arial" w:hAnsi="Arial"/>
                <w:b w:val="0"/>
                <w:sz w:val="18"/>
              </w:rPr>
              <w:t>One of the undergraduate assistants</w:t>
            </w:r>
          </w:p>
        </w:tc>
        <w:tc>
          <w:tcPr>
            <w:tcW w:type="dxa" w:w="3360"/>
            <w:vAlign w:val="center"/>
          </w:tcPr>
          <w:p>
            <w:pPr>
              <w:spacing w:after="0"/>
            </w:pPr>
            <w:r>
              <w:rPr>
                <w:rFonts w:ascii="Arial" w:hAnsi="Arial"/>
                <w:sz w:val="18"/>
              </w:rPr>
            </w:r>
            <w:r>
              <w:rPr>
                <w:rFonts w:ascii="Arial" w:hAnsi="Arial"/>
                <w:b w:val="0"/>
                <w:sz w:val="18"/>
              </w:rPr>
              <w:t>TBA; just drop in once announced</w:t>
            </w:r>
          </w:p>
        </w:tc>
      </w:tr>
    </w:tbl>
    <w:p>
      <w:pPr>
        <w:pStyle w:val="Heading1"/>
      </w:pPr>
      <w:r>
        <w:t>How to get credit for this course</w:t>
      </w:r>
    </w:p>
    <w:p>
      <w:r>
        <w:rPr>
          <w:b/>
        </w:rPr>
        <w:t xml:space="preserve">Credit from exams: </w:t>
      </w:r>
      <w:r>
        <w:t>There will be three multiple choice exams: two midterms and a non-cumulative final exam. Each exam will consist of 50 multiple choice questions about material that has been discussed in lectures since the previous exam. Each exam counts for 25% of your final grade, except for your best exam: that one counts for 30%. Everything that is discussed in lectures and/or shown on the lecture slides may be part of an exam. Material from the textbook that did not feature in lectures will not be part of the exam. Material from online experiments that did not feature in lectures will not be part of the exam.</w:t>
      </w:r>
    </w:p>
    <w:p>
      <w:r>
        <w:rPr>
          <w:b/>
        </w:rPr>
        <w:t xml:space="preserve">Credit from online experiments: </w:t>
      </w:r>
      <w:r>
        <w:t>14% of the credit for this course can be earned by completing cognitive psychology experiments in an internet browser, and submitting your experiment results on time, along with answers related to your experiment results. The online experiments can be found under 'Assignments' on D2L, and you need to submit your materials by uploading them to those same D2L assignments. Each online experiment has its own deadline, chosen to match the associated lecture material. Details will be provided during the first lecture and in the experiment's D2L assignment.</w:t>
      </w:r>
    </w:p>
    <w:p>
      <w:r>
        <w:rPr>
          <w:b/>
        </w:rPr>
        <w:t xml:space="preserve">Credit from subject pool participation (HPR/Sona): </w:t>
      </w:r>
      <w:r>
        <w:t>3% of your total grade comes from participation in the subject pool, coordinated through the Psychology department's Sona system. This is equivalent to 3 hours of research participation. Please participate before the final deadline for Sona participation, the Friday before MSU's exam week. Details for creating your Sona account are available in the course D2L materials. For questions, contact Ms. Audra Jeffrey at jeffre22@msu.edu. Be careful to choose studies that compensate with course credit, and use the Psychology department's Sona system.</w:t>
      </w:r>
    </w:p>
    <w:p>
      <w:r>
        <w:rPr>
          <w:b/>
        </w:rPr>
        <w:t xml:space="preserve">Subject Pool Participation (HPR/Sona) alternative assignment: </w:t>
      </w:r>
      <w:r>
        <w:t>If you are under 18 years old and therefore cannot participate in research, you can perform an alternative assignment described in the course D2L materials; for details contact Ms. Audra Jeffrey. If you are not under 18 but nevertheless prefer not to participate in research, you can complete an alternative assignment involving scientific texts related to cognitive psychology, written answers, and a meeting with the course instructor. Contact the course instructor before Exam 1 if you want this option. The deadline for participating in subject pool research is the last Friday before exam week at 5 pm.</w:t>
      </w:r>
    </w:p>
    <w:p>
      <w:r>
        <w:rPr>
          <w:b/>
        </w:rPr>
        <w:t xml:space="preserve">Credit from attendance: </w:t>
      </w:r>
      <w:r>
        <w:t>You can earn both regular credit and extra credit by attending lectures. Attending 60% of the lectures earns 3% of your final grade, which is all the regular credit available through attendance. Lectures attended beyond 60% earn extra credit. The maximum overall attendance credit is 5%: 3% regular credit plus 2% extra credit, earned by attending every lecture. If you attend less than 100%, credit will be assigned proportionally.</w:t>
      </w:r>
    </w:p>
    <w:p>
      <w:r>
        <w:rPr>
          <w:b/>
        </w:rPr>
        <w:t xml:space="preserve">Extra credit: </w:t>
      </w:r>
      <w:r>
        <w:t>This course has a total of 2% of extra course credit that you can earn by attending lectures. See 'Credit from attendance' for details.</w:t>
      </w:r>
    </w:p>
    <w:p>
      <w:pPr>
        <w:pStyle w:val="Heading2"/>
      </w:pPr>
      <w:r>
        <w:t>Final Grade Breakdown</w:t>
      </w:r>
    </w:p>
    <w:tbl>
      <w:tblPr>
        <w:tblStyle w:val="TableGrid"/>
        <w:tblW w:type="auto" w:w="0"/>
        <w:jc w:val="center"/>
        <w:tblLook w:firstColumn="1" w:firstRow="1" w:lastColumn="0" w:lastRow="0" w:noHBand="0" w:noVBand="1" w:val="04A0"/>
        <w:tblCaption w:val="Final grade breakdown"/>
        <w:tblDescription w:val="Course components, points, and percentage contribution to the final grade."/>
      </w:tblPr>
      <w:tblGrid>
        <w:gridCol w:w="3360"/>
        <w:gridCol w:w="3360"/>
        <w:gridCol w:w="3360"/>
      </w:tblGrid>
      <w:tr>
        <w:trPr>
          <w:tblHeader w:val="true"/>
          <w:cantSplit/>
        </w:trPr>
        <w:tc>
          <w:tcPr>
            <w:tcW w:type="dxa" w:w="3360"/>
            <w:vAlign w:val="center"/>
            <w:shd w:fill="D9EAD3"/>
          </w:tcPr>
          <w:p>
            <w:pPr>
              <w:spacing w:after="0"/>
            </w:pPr>
            <w:r>
              <w:rPr>
                <w:rFonts w:ascii="Arial" w:hAnsi="Arial"/>
                <w:sz w:val="18"/>
              </w:rPr>
            </w:r>
            <w:r>
              <w:rPr>
                <w:rFonts w:ascii="Arial" w:hAnsi="Arial"/>
                <w:b/>
                <w:sz w:val="18"/>
              </w:rPr>
              <w:t>Component</w:t>
            </w:r>
          </w:p>
        </w:tc>
        <w:tc>
          <w:tcPr>
            <w:tcW w:type="dxa" w:w="3360"/>
            <w:vAlign w:val="center"/>
            <w:shd w:fill="D9EAD3"/>
          </w:tcPr>
          <w:p>
            <w:pPr>
              <w:spacing w:after="0"/>
            </w:pPr>
            <w:r>
              <w:rPr>
                <w:rFonts w:ascii="Arial" w:hAnsi="Arial"/>
                <w:sz w:val="18"/>
              </w:rPr>
            </w:r>
            <w:r>
              <w:rPr>
                <w:rFonts w:ascii="Arial" w:hAnsi="Arial"/>
                <w:b/>
                <w:sz w:val="18"/>
              </w:rPr>
              <w:t># points</w:t>
            </w:r>
          </w:p>
        </w:tc>
        <w:tc>
          <w:tcPr>
            <w:tcW w:type="dxa" w:w="3360"/>
            <w:vAlign w:val="center"/>
            <w:shd w:fill="D9EAD3"/>
          </w:tcPr>
          <w:p>
            <w:pPr>
              <w:spacing w:after="0"/>
            </w:pPr>
            <w:r>
              <w:rPr>
                <w:rFonts w:ascii="Arial" w:hAnsi="Arial"/>
                <w:sz w:val="18"/>
              </w:rPr>
            </w:r>
            <w:r>
              <w:rPr>
                <w:rFonts w:ascii="Arial" w:hAnsi="Arial"/>
                <w:b/>
                <w:sz w:val="18"/>
              </w:rPr>
              <w:t>% of final grade</w:t>
            </w:r>
          </w:p>
        </w:tc>
      </w:tr>
      <w:tr>
        <w:trPr>
          <w:cantSplit/>
        </w:trPr>
        <w:tc>
          <w:tcPr>
            <w:tcW w:type="dxa" w:w="3360"/>
            <w:vAlign w:val="center"/>
          </w:tcPr>
          <w:p>
            <w:pPr>
              <w:spacing w:after="0"/>
            </w:pPr>
            <w:r>
              <w:rPr>
                <w:rFonts w:ascii="Arial" w:hAnsi="Arial"/>
                <w:sz w:val="18"/>
              </w:rPr>
            </w:r>
            <w:r>
              <w:rPr>
                <w:rFonts w:ascii="Arial" w:hAnsi="Arial"/>
                <w:b w:val="0"/>
                <w:sz w:val="18"/>
              </w:rPr>
              <w:t>Best Exam</w:t>
            </w:r>
          </w:p>
        </w:tc>
        <w:tc>
          <w:tcPr>
            <w:tcW w:type="dxa" w:w="3360"/>
            <w:vAlign w:val="center"/>
          </w:tcPr>
          <w:p>
            <w:pPr>
              <w:spacing w:after="0"/>
            </w:pPr>
            <w:r>
              <w:rPr>
                <w:rFonts w:ascii="Arial" w:hAnsi="Arial"/>
                <w:sz w:val="18"/>
              </w:rPr>
            </w:r>
            <w:r>
              <w:rPr>
                <w:rFonts w:ascii="Arial" w:hAnsi="Arial"/>
                <w:b w:val="0"/>
                <w:sz w:val="18"/>
              </w:rPr>
              <w:t>60*</w:t>
            </w:r>
          </w:p>
        </w:tc>
        <w:tc>
          <w:tcPr>
            <w:tcW w:type="dxa" w:w="3360"/>
            <w:vAlign w:val="center"/>
          </w:tcPr>
          <w:p>
            <w:pPr>
              <w:spacing w:after="0"/>
            </w:pPr>
            <w:r>
              <w:rPr>
                <w:rFonts w:ascii="Arial" w:hAnsi="Arial"/>
                <w:sz w:val="18"/>
              </w:rPr>
            </w:r>
            <w:r>
              <w:rPr>
                <w:rFonts w:ascii="Arial" w:hAnsi="Arial"/>
                <w:b w:val="0"/>
                <w:sz w:val="18"/>
              </w:rPr>
              <w:t>30.0%*</w:t>
            </w:r>
          </w:p>
        </w:tc>
      </w:tr>
      <w:tr>
        <w:trPr>
          <w:cantSplit/>
        </w:trPr>
        <w:tc>
          <w:tcPr>
            <w:tcW w:type="dxa" w:w="3360"/>
            <w:vAlign w:val="center"/>
          </w:tcPr>
          <w:p>
            <w:pPr>
              <w:spacing w:after="0"/>
            </w:pPr>
            <w:r>
              <w:rPr>
                <w:rFonts w:ascii="Arial" w:hAnsi="Arial"/>
                <w:sz w:val="18"/>
              </w:rPr>
            </w:r>
            <w:r>
              <w:rPr>
                <w:rFonts w:ascii="Arial" w:hAnsi="Arial"/>
                <w:b w:val="0"/>
                <w:sz w:val="18"/>
              </w:rPr>
              <w:t>Other Exam</w:t>
            </w:r>
          </w:p>
        </w:tc>
        <w:tc>
          <w:tcPr>
            <w:tcW w:type="dxa" w:w="3360"/>
            <w:vAlign w:val="center"/>
          </w:tcPr>
          <w:p>
            <w:pPr>
              <w:spacing w:after="0"/>
            </w:pPr>
            <w:r>
              <w:rPr>
                <w:rFonts w:ascii="Arial" w:hAnsi="Arial"/>
                <w:sz w:val="18"/>
              </w:rPr>
            </w:r>
            <w:r>
              <w:rPr>
                <w:rFonts w:ascii="Arial" w:hAnsi="Arial"/>
                <w:b w:val="0"/>
                <w:sz w:val="18"/>
              </w:rPr>
              <w:t>50</w:t>
            </w:r>
          </w:p>
        </w:tc>
        <w:tc>
          <w:tcPr>
            <w:tcW w:type="dxa" w:w="3360"/>
            <w:vAlign w:val="center"/>
          </w:tcPr>
          <w:p>
            <w:pPr>
              <w:spacing w:after="0"/>
            </w:pPr>
            <w:r>
              <w:rPr>
                <w:rFonts w:ascii="Arial" w:hAnsi="Arial"/>
                <w:sz w:val="18"/>
              </w:rPr>
            </w:r>
            <w:r>
              <w:rPr>
                <w:rFonts w:ascii="Arial" w:hAnsi="Arial"/>
                <w:b w:val="0"/>
                <w:sz w:val="18"/>
              </w:rPr>
              <w:t>25.0%</w:t>
            </w:r>
          </w:p>
        </w:tc>
      </w:tr>
      <w:tr>
        <w:trPr>
          <w:cantSplit/>
        </w:trPr>
        <w:tc>
          <w:tcPr>
            <w:tcW w:type="dxa" w:w="3360"/>
            <w:vAlign w:val="center"/>
          </w:tcPr>
          <w:p>
            <w:pPr>
              <w:spacing w:after="0"/>
            </w:pPr>
            <w:r>
              <w:rPr>
                <w:rFonts w:ascii="Arial" w:hAnsi="Arial"/>
                <w:sz w:val="18"/>
              </w:rPr>
            </w:r>
            <w:r>
              <w:rPr>
                <w:rFonts w:ascii="Arial" w:hAnsi="Arial"/>
                <w:b w:val="0"/>
                <w:sz w:val="18"/>
              </w:rPr>
              <w:t>Other Exam</w:t>
            </w:r>
          </w:p>
        </w:tc>
        <w:tc>
          <w:tcPr>
            <w:tcW w:type="dxa" w:w="3360"/>
            <w:vAlign w:val="center"/>
          </w:tcPr>
          <w:p>
            <w:pPr>
              <w:spacing w:after="0"/>
            </w:pPr>
            <w:r>
              <w:rPr>
                <w:rFonts w:ascii="Arial" w:hAnsi="Arial"/>
                <w:sz w:val="18"/>
              </w:rPr>
            </w:r>
            <w:r>
              <w:rPr>
                <w:rFonts w:ascii="Arial" w:hAnsi="Arial"/>
                <w:b w:val="0"/>
                <w:sz w:val="18"/>
              </w:rPr>
              <w:t>50</w:t>
            </w:r>
          </w:p>
        </w:tc>
        <w:tc>
          <w:tcPr>
            <w:tcW w:type="dxa" w:w="3360"/>
            <w:vAlign w:val="center"/>
          </w:tcPr>
          <w:p>
            <w:pPr>
              <w:spacing w:after="0"/>
            </w:pPr>
            <w:r>
              <w:rPr>
                <w:rFonts w:ascii="Arial" w:hAnsi="Arial"/>
                <w:sz w:val="18"/>
              </w:rPr>
            </w:r>
            <w:r>
              <w:rPr>
                <w:rFonts w:ascii="Arial" w:hAnsi="Arial"/>
                <w:b w:val="0"/>
                <w:sz w:val="18"/>
              </w:rPr>
              <w:t>25.0%</w:t>
            </w:r>
          </w:p>
        </w:tc>
      </w:tr>
      <w:tr>
        <w:trPr>
          <w:cantSplit/>
        </w:trPr>
        <w:tc>
          <w:tcPr>
            <w:tcW w:type="dxa" w:w="3360"/>
            <w:vAlign w:val="center"/>
          </w:tcPr>
          <w:p>
            <w:pPr>
              <w:spacing w:after="0"/>
            </w:pPr>
            <w:r>
              <w:rPr>
                <w:rFonts w:ascii="Arial" w:hAnsi="Arial"/>
                <w:sz w:val="18"/>
              </w:rPr>
            </w:r>
            <w:r>
              <w:rPr>
                <w:rFonts w:ascii="Arial" w:hAnsi="Arial"/>
                <w:b w:val="0"/>
                <w:sz w:val="18"/>
              </w:rPr>
              <w:t>Online experiments</w:t>
            </w:r>
          </w:p>
        </w:tc>
        <w:tc>
          <w:tcPr>
            <w:tcW w:type="dxa" w:w="3360"/>
            <w:vAlign w:val="center"/>
          </w:tcPr>
          <w:p>
            <w:pPr>
              <w:spacing w:after="0"/>
            </w:pPr>
            <w:r>
              <w:rPr>
                <w:rFonts w:ascii="Arial" w:hAnsi="Arial"/>
                <w:sz w:val="18"/>
              </w:rPr>
            </w:r>
            <w:r>
              <w:rPr>
                <w:rFonts w:ascii="Arial" w:hAnsi="Arial"/>
                <w:b w:val="0"/>
                <w:sz w:val="18"/>
              </w:rPr>
              <w:t>28</w:t>
            </w:r>
          </w:p>
        </w:tc>
        <w:tc>
          <w:tcPr>
            <w:tcW w:type="dxa" w:w="3360"/>
            <w:vAlign w:val="center"/>
          </w:tcPr>
          <w:p>
            <w:pPr>
              <w:spacing w:after="0"/>
            </w:pPr>
            <w:r>
              <w:rPr>
                <w:rFonts w:ascii="Arial" w:hAnsi="Arial"/>
                <w:sz w:val="18"/>
              </w:rPr>
            </w:r>
            <w:r>
              <w:rPr>
                <w:rFonts w:ascii="Arial" w:hAnsi="Arial"/>
                <w:b w:val="0"/>
                <w:sz w:val="18"/>
              </w:rPr>
              <w:t>14.0%</w:t>
            </w:r>
          </w:p>
        </w:tc>
      </w:tr>
      <w:tr>
        <w:trPr>
          <w:cantSplit/>
        </w:trPr>
        <w:tc>
          <w:tcPr>
            <w:tcW w:type="dxa" w:w="3360"/>
            <w:vAlign w:val="center"/>
          </w:tcPr>
          <w:p>
            <w:pPr>
              <w:spacing w:after="0"/>
            </w:pPr>
            <w:r>
              <w:rPr>
                <w:rFonts w:ascii="Arial" w:hAnsi="Arial"/>
                <w:sz w:val="18"/>
              </w:rPr>
            </w:r>
            <w:r>
              <w:rPr>
                <w:rFonts w:ascii="Arial" w:hAnsi="Arial"/>
                <w:b w:val="0"/>
                <w:sz w:val="18"/>
              </w:rPr>
              <w:t>Subject Pool</w:t>
            </w:r>
          </w:p>
        </w:tc>
        <w:tc>
          <w:tcPr>
            <w:tcW w:type="dxa" w:w="3360"/>
            <w:vAlign w:val="center"/>
          </w:tcPr>
          <w:p>
            <w:pPr>
              <w:spacing w:after="0"/>
            </w:pPr>
            <w:r>
              <w:rPr>
                <w:rFonts w:ascii="Arial" w:hAnsi="Arial"/>
                <w:sz w:val="18"/>
              </w:rPr>
            </w:r>
            <w:r>
              <w:rPr>
                <w:rFonts w:ascii="Arial" w:hAnsi="Arial"/>
                <w:b w:val="0"/>
                <w:sz w:val="18"/>
              </w:rPr>
              <w:t>6</w:t>
            </w:r>
          </w:p>
        </w:tc>
        <w:tc>
          <w:tcPr>
            <w:tcW w:type="dxa" w:w="3360"/>
            <w:vAlign w:val="center"/>
          </w:tcPr>
          <w:p>
            <w:pPr>
              <w:spacing w:after="0"/>
            </w:pPr>
            <w:r>
              <w:rPr>
                <w:rFonts w:ascii="Arial" w:hAnsi="Arial"/>
                <w:sz w:val="18"/>
              </w:rPr>
            </w:r>
            <w:r>
              <w:rPr>
                <w:rFonts w:ascii="Arial" w:hAnsi="Arial"/>
                <w:b w:val="0"/>
                <w:sz w:val="18"/>
              </w:rPr>
              <w:t>3.0%</w:t>
            </w:r>
          </w:p>
        </w:tc>
      </w:tr>
      <w:tr>
        <w:trPr>
          <w:cantSplit/>
        </w:trPr>
        <w:tc>
          <w:tcPr>
            <w:tcW w:type="dxa" w:w="3360"/>
            <w:vAlign w:val="center"/>
          </w:tcPr>
          <w:p>
            <w:pPr>
              <w:spacing w:after="0"/>
            </w:pPr>
            <w:r>
              <w:rPr>
                <w:rFonts w:ascii="Arial" w:hAnsi="Arial"/>
                <w:sz w:val="18"/>
              </w:rPr>
            </w:r>
            <w:r>
              <w:rPr>
                <w:rFonts w:ascii="Arial" w:hAnsi="Arial"/>
                <w:b w:val="0"/>
                <w:sz w:val="18"/>
              </w:rPr>
              <w:t>Attending 60% of lectures</w:t>
            </w:r>
          </w:p>
        </w:tc>
        <w:tc>
          <w:tcPr>
            <w:tcW w:type="dxa" w:w="3360"/>
            <w:vAlign w:val="center"/>
          </w:tcPr>
          <w:p>
            <w:pPr>
              <w:spacing w:after="0"/>
            </w:pPr>
            <w:r>
              <w:rPr>
                <w:rFonts w:ascii="Arial" w:hAnsi="Arial"/>
                <w:sz w:val="18"/>
              </w:rPr>
            </w:r>
            <w:r>
              <w:rPr>
                <w:rFonts w:ascii="Arial" w:hAnsi="Arial"/>
                <w:b w:val="0"/>
                <w:sz w:val="18"/>
              </w:rPr>
              <w:t>6</w:t>
            </w:r>
          </w:p>
        </w:tc>
        <w:tc>
          <w:tcPr>
            <w:tcW w:type="dxa" w:w="3360"/>
            <w:vAlign w:val="center"/>
          </w:tcPr>
          <w:p>
            <w:pPr>
              <w:spacing w:after="0"/>
            </w:pPr>
            <w:r>
              <w:rPr>
                <w:rFonts w:ascii="Arial" w:hAnsi="Arial"/>
                <w:sz w:val="18"/>
              </w:rPr>
            </w:r>
            <w:r>
              <w:rPr>
                <w:rFonts w:ascii="Arial" w:hAnsi="Arial"/>
                <w:b w:val="0"/>
                <w:sz w:val="18"/>
              </w:rPr>
              <w:t>3.0%</w:t>
            </w:r>
          </w:p>
        </w:tc>
      </w:tr>
      <w:tr>
        <w:trPr>
          <w:cantSplit/>
        </w:trPr>
        <w:tc>
          <w:tcPr>
            <w:tcW w:type="dxa" w:w="3360"/>
            <w:vAlign w:val="center"/>
          </w:tcPr>
          <w:p>
            <w:pPr>
              <w:spacing w:after="0"/>
            </w:pPr>
            <w:r>
              <w:rPr>
                <w:rFonts w:ascii="Arial" w:hAnsi="Arial"/>
                <w:sz w:val="18"/>
              </w:rPr>
            </w:r>
            <w:r>
              <w:rPr>
                <w:rFonts w:ascii="Arial" w:hAnsi="Arial"/>
                <w:b/>
                <w:sz w:val="18"/>
              </w:rPr>
              <w:t>Course total</w:t>
            </w:r>
          </w:p>
        </w:tc>
        <w:tc>
          <w:tcPr>
            <w:tcW w:type="dxa" w:w="3360"/>
            <w:vAlign w:val="center"/>
          </w:tcPr>
          <w:p>
            <w:pPr>
              <w:spacing w:after="0"/>
            </w:pPr>
            <w:r>
              <w:rPr>
                <w:rFonts w:ascii="Arial" w:hAnsi="Arial"/>
                <w:sz w:val="18"/>
              </w:rPr>
            </w:r>
            <w:r>
              <w:rPr>
                <w:rFonts w:ascii="Arial" w:hAnsi="Arial"/>
                <w:b/>
                <w:sz w:val="18"/>
              </w:rPr>
              <w:t>200 points</w:t>
            </w:r>
          </w:p>
        </w:tc>
        <w:tc>
          <w:tcPr>
            <w:tcW w:type="dxa" w:w="3360"/>
            <w:vAlign w:val="center"/>
          </w:tcPr>
          <w:p>
            <w:pPr>
              <w:spacing w:after="0"/>
            </w:pPr>
            <w:r>
              <w:rPr>
                <w:rFonts w:ascii="Arial" w:hAnsi="Arial"/>
                <w:sz w:val="18"/>
              </w:rPr>
            </w:r>
            <w:r>
              <w:rPr>
                <w:rFonts w:ascii="Arial" w:hAnsi="Arial"/>
                <w:b/>
                <w:sz w:val="18"/>
              </w:rPr>
              <w:t>100%</w:t>
            </w:r>
          </w:p>
        </w:tc>
      </w:tr>
    </w:tbl>
    <w:p>
      <w:r>
        <w:rPr>
          <w:i/>
        </w:rPr>
        <w:t>*Each exam has 50 questions. In calculating your overall grade, you can treat your best exam as if it contained 60 questions, while keeping your proportion of correct questions on that exam the same as it was in reality (e.g., 25 out of 50 becomes 30 out of 60).</w:t>
      </w:r>
    </w:p>
    <w:p>
      <w:pPr>
        <w:pStyle w:val="Heading2"/>
      </w:pPr>
      <w:r>
        <w:t>Final Grade Scale</w:t>
      </w:r>
    </w:p>
    <w:tbl>
      <w:tblPr>
        <w:tblStyle w:val="TableGrid"/>
        <w:tblW w:type="auto" w:w="0"/>
        <w:jc w:val="center"/>
        <w:tblLook w:firstColumn="1" w:firstRow="1" w:lastColumn="0" w:lastRow="0" w:noHBand="0" w:noVBand="1" w:val="04A0"/>
        <w:tblCaption w:val="Final grade scale"/>
        <w:tblDescription w:val="Percentage thresholds corresponding to MSU course grades."/>
      </w:tblPr>
      <w:tblGrid>
        <w:gridCol w:w="5040"/>
        <w:gridCol w:w="5040"/>
      </w:tblGrid>
      <w:tr>
        <w:trPr>
          <w:tblHeader w:val="true"/>
          <w:cantSplit/>
        </w:trPr>
        <w:tc>
          <w:tcPr>
            <w:tcW w:type="dxa" w:w="5040"/>
            <w:vAlign w:val="center"/>
            <w:shd w:fill="D9EAD3"/>
          </w:tcPr>
          <w:p>
            <w:pPr>
              <w:spacing w:after="0"/>
            </w:pPr>
            <w:r>
              <w:rPr>
                <w:rFonts w:ascii="Arial" w:hAnsi="Arial"/>
                <w:sz w:val="18"/>
              </w:rPr>
            </w:r>
            <w:r>
              <w:rPr>
                <w:rFonts w:ascii="Arial" w:hAnsi="Arial"/>
                <w:b/>
                <w:sz w:val="18"/>
              </w:rPr>
              <w:t>Percentage</w:t>
            </w:r>
          </w:p>
        </w:tc>
        <w:tc>
          <w:tcPr>
            <w:tcW w:type="dxa" w:w="5040"/>
            <w:vAlign w:val="center"/>
            <w:shd w:fill="D9EAD3"/>
          </w:tcPr>
          <w:p>
            <w:pPr>
              <w:spacing w:after="0"/>
            </w:pPr>
            <w:r>
              <w:rPr>
                <w:rFonts w:ascii="Arial" w:hAnsi="Arial"/>
                <w:sz w:val="18"/>
              </w:rPr>
            </w:r>
            <w:r>
              <w:rPr>
                <w:rFonts w:ascii="Arial" w:hAnsi="Arial"/>
                <w:b/>
                <w:sz w:val="18"/>
              </w:rPr>
              <w:t>Grade</w:t>
            </w:r>
          </w:p>
        </w:tc>
      </w:tr>
      <w:tr>
        <w:trPr>
          <w:cantSplit/>
        </w:trPr>
        <w:tc>
          <w:tcPr>
            <w:tcW w:type="dxa" w:w="5040"/>
            <w:vAlign w:val="center"/>
          </w:tcPr>
          <w:p>
            <w:pPr>
              <w:spacing w:after="0"/>
            </w:pPr>
            <w:r>
              <w:rPr>
                <w:rFonts w:ascii="Arial" w:hAnsi="Arial"/>
                <w:sz w:val="18"/>
              </w:rPr>
            </w:r>
            <w:r>
              <w:rPr>
                <w:rFonts w:ascii="Arial" w:hAnsi="Arial"/>
                <w:b w:val="0"/>
                <w:sz w:val="18"/>
              </w:rPr>
              <w:t>90% and above</w:t>
            </w:r>
          </w:p>
        </w:tc>
        <w:tc>
          <w:tcPr>
            <w:tcW w:type="dxa" w:w="5040"/>
            <w:vAlign w:val="center"/>
          </w:tcPr>
          <w:p>
            <w:pPr>
              <w:spacing w:after="0"/>
            </w:pPr>
            <w:r>
              <w:rPr>
                <w:rFonts w:ascii="Arial" w:hAnsi="Arial"/>
                <w:sz w:val="18"/>
              </w:rPr>
            </w:r>
            <w:r>
              <w:rPr>
                <w:rFonts w:ascii="Arial" w:hAnsi="Arial"/>
                <w:b w:val="0"/>
                <w:sz w:val="18"/>
              </w:rPr>
              <w:t>4.0</w:t>
            </w:r>
          </w:p>
        </w:tc>
      </w:tr>
      <w:tr>
        <w:trPr>
          <w:cantSplit/>
        </w:trPr>
        <w:tc>
          <w:tcPr>
            <w:tcW w:type="dxa" w:w="5040"/>
            <w:vAlign w:val="center"/>
          </w:tcPr>
          <w:p>
            <w:pPr>
              <w:spacing w:after="0"/>
            </w:pPr>
            <w:r>
              <w:rPr>
                <w:rFonts w:ascii="Arial" w:hAnsi="Arial"/>
                <w:sz w:val="18"/>
              </w:rPr>
            </w:r>
            <w:r>
              <w:rPr>
                <w:rFonts w:ascii="Arial" w:hAnsi="Arial"/>
                <w:b w:val="0"/>
                <w:sz w:val="18"/>
              </w:rPr>
              <w:t>86% and above</w:t>
            </w:r>
          </w:p>
        </w:tc>
        <w:tc>
          <w:tcPr>
            <w:tcW w:type="dxa" w:w="5040"/>
            <w:vAlign w:val="center"/>
          </w:tcPr>
          <w:p>
            <w:pPr>
              <w:spacing w:after="0"/>
            </w:pPr>
            <w:r>
              <w:rPr>
                <w:rFonts w:ascii="Arial" w:hAnsi="Arial"/>
                <w:sz w:val="18"/>
              </w:rPr>
            </w:r>
            <w:r>
              <w:rPr>
                <w:rFonts w:ascii="Arial" w:hAnsi="Arial"/>
                <w:b w:val="0"/>
                <w:sz w:val="18"/>
              </w:rPr>
              <w:t>3.5</w:t>
            </w:r>
          </w:p>
        </w:tc>
      </w:tr>
      <w:tr>
        <w:trPr>
          <w:cantSplit/>
        </w:trPr>
        <w:tc>
          <w:tcPr>
            <w:tcW w:type="dxa" w:w="5040"/>
            <w:vAlign w:val="center"/>
          </w:tcPr>
          <w:p>
            <w:pPr>
              <w:spacing w:after="0"/>
            </w:pPr>
            <w:r>
              <w:rPr>
                <w:rFonts w:ascii="Arial" w:hAnsi="Arial"/>
                <w:sz w:val="18"/>
              </w:rPr>
            </w:r>
            <w:r>
              <w:rPr>
                <w:rFonts w:ascii="Arial" w:hAnsi="Arial"/>
                <w:b w:val="0"/>
                <w:sz w:val="18"/>
              </w:rPr>
              <w:t>80% and above</w:t>
            </w:r>
          </w:p>
        </w:tc>
        <w:tc>
          <w:tcPr>
            <w:tcW w:type="dxa" w:w="5040"/>
            <w:vAlign w:val="center"/>
          </w:tcPr>
          <w:p>
            <w:pPr>
              <w:spacing w:after="0"/>
            </w:pPr>
            <w:r>
              <w:rPr>
                <w:rFonts w:ascii="Arial" w:hAnsi="Arial"/>
                <w:sz w:val="18"/>
              </w:rPr>
            </w:r>
            <w:r>
              <w:rPr>
                <w:rFonts w:ascii="Arial" w:hAnsi="Arial"/>
                <w:b w:val="0"/>
                <w:sz w:val="18"/>
              </w:rPr>
              <w:t>3.0</w:t>
            </w:r>
          </w:p>
        </w:tc>
      </w:tr>
      <w:tr>
        <w:trPr>
          <w:cantSplit/>
        </w:trPr>
        <w:tc>
          <w:tcPr>
            <w:tcW w:type="dxa" w:w="5040"/>
            <w:vAlign w:val="center"/>
          </w:tcPr>
          <w:p>
            <w:pPr>
              <w:spacing w:after="0"/>
            </w:pPr>
            <w:r>
              <w:rPr>
                <w:rFonts w:ascii="Arial" w:hAnsi="Arial"/>
                <w:sz w:val="18"/>
              </w:rPr>
            </w:r>
            <w:r>
              <w:rPr>
                <w:rFonts w:ascii="Arial" w:hAnsi="Arial"/>
                <w:b w:val="0"/>
                <w:sz w:val="18"/>
              </w:rPr>
              <w:t>76% and above</w:t>
            </w:r>
          </w:p>
        </w:tc>
        <w:tc>
          <w:tcPr>
            <w:tcW w:type="dxa" w:w="5040"/>
            <w:vAlign w:val="center"/>
          </w:tcPr>
          <w:p>
            <w:pPr>
              <w:spacing w:after="0"/>
            </w:pPr>
            <w:r>
              <w:rPr>
                <w:rFonts w:ascii="Arial" w:hAnsi="Arial"/>
                <w:sz w:val="18"/>
              </w:rPr>
            </w:r>
            <w:r>
              <w:rPr>
                <w:rFonts w:ascii="Arial" w:hAnsi="Arial"/>
                <w:b w:val="0"/>
                <w:sz w:val="18"/>
              </w:rPr>
              <w:t>2.5</w:t>
            </w:r>
          </w:p>
        </w:tc>
      </w:tr>
      <w:tr>
        <w:trPr>
          <w:cantSplit/>
        </w:trPr>
        <w:tc>
          <w:tcPr>
            <w:tcW w:type="dxa" w:w="5040"/>
            <w:vAlign w:val="center"/>
          </w:tcPr>
          <w:p>
            <w:pPr>
              <w:spacing w:after="0"/>
            </w:pPr>
            <w:r>
              <w:rPr>
                <w:rFonts w:ascii="Arial" w:hAnsi="Arial"/>
                <w:sz w:val="18"/>
              </w:rPr>
            </w:r>
            <w:r>
              <w:rPr>
                <w:rFonts w:ascii="Arial" w:hAnsi="Arial"/>
                <w:b w:val="0"/>
                <w:sz w:val="18"/>
              </w:rPr>
              <w:t>70% and above</w:t>
            </w:r>
          </w:p>
        </w:tc>
        <w:tc>
          <w:tcPr>
            <w:tcW w:type="dxa" w:w="5040"/>
            <w:vAlign w:val="center"/>
          </w:tcPr>
          <w:p>
            <w:pPr>
              <w:spacing w:after="0"/>
            </w:pPr>
            <w:r>
              <w:rPr>
                <w:rFonts w:ascii="Arial" w:hAnsi="Arial"/>
                <w:sz w:val="18"/>
              </w:rPr>
            </w:r>
            <w:r>
              <w:rPr>
                <w:rFonts w:ascii="Arial" w:hAnsi="Arial"/>
                <w:b w:val="0"/>
                <w:sz w:val="18"/>
              </w:rPr>
              <w:t>2.0</w:t>
            </w:r>
          </w:p>
        </w:tc>
      </w:tr>
      <w:tr>
        <w:trPr>
          <w:cantSplit/>
        </w:trPr>
        <w:tc>
          <w:tcPr>
            <w:tcW w:type="dxa" w:w="5040"/>
            <w:vAlign w:val="center"/>
          </w:tcPr>
          <w:p>
            <w:pPr>
              <w:spacing w:after="0"/>
            </w:pPr>
            <w:r>
              <w:rPr>
                <w:rFonts w:ascii="Arial" w:hAnsi="Arial"/>
                <w:sz w:val="18"/>
              </w:rPr>
            </w:r>
            <w:r>
              <w:rPr>
                <w:rFonts w:ascii="Arial" w:hAnsi="Arial"/>
                <w:b w:val="0"/>
                <w:sz w:val="18"/>
              </w:rPr>
              <w:t>66% and above</w:t>
            </w:r>
          </w:p>
        </w:tc>
        <w:tc>
          <w:tcPr>
            <w:tcW w:type="dxa" w:w="5040"/>
            <w:vAlign w:val="center"/>
          </w:tcPr>
          <w:p>
            <w:pPr>
              <w:spacing w:after="0"/>
            </w:pPr>
            <w:r>
              <w:rPr>
                <w:rFonts w:ascii="Arial" w:hAnsi="Arial"/>
                <w:sz w:val="18"/>
              </w:rPr>
            </w:r>
            <w:r>
              <w:rPr>
                <w:rFonts w:ascii="Arial" w:hAnsi="Arial"/>
                <w:b w:val="0"/>
                <w:sz w:val="18"/>
              </w:rPr>
              <w:t>1.5</w:t>
            </w:r>
          </w:p>
        </w:tc>
      </w:tr>
      <w:tr>
        <w:trPr>
          <w:cantSplit/>
        </w:trPr>
        <w:tc>
          <w:tcPr>
            <w:tcW w:type="dxa" w:w="5040"/>
            <w:vAlign w:val="center"/>
          </w:tcPr>
          <w:p>
            <w:pPr>
              <w:spacing w:after="0"/>
            </w:pPr>
            <w:r>
              <w:rPr>
                <w:rFonts w:ascii="Arial" w:hAnsi="Arial"/>
                <w:sz w:val="18"/>
              </w:rPr>
            </w:r>
            <w:r>
              <w:rPr>
                <w:rFonts w:ascii="Arial" w:hAnsi="Arial"/>
                <w:b w:val="0"/>
                <w:sz w:val="18"/>
              </w:rPr>
              <w:t>60% and above</w:t>
            </w:r>
          </w:p>
        </w:tc>
        <w:tc>
          <w:tcPr>
            <w:tcW w:type="dxa" w:w="5040"/>
            <w:vAlign w:val="center"/>
          </w:tcPr>
          <w:p>
            <w:pPr>
              <w:spacing w:after="0"/>
            </w:pPr>
            <w:r>
              <w:rPr>
                <w:rFonts w:ascii="Arial" w:hAnsi="Arial"/>
                <w:sz w:val="18"/>
              </w:rPr>
            </w:r>
            <w:r>
              <w:rPr>
                <w:rFonts w:ascii="Arial" w:hAnsi="Arial"/>
                <w:b w:val="0"/>
                <w:sz w:val="18"/>
              </w:rPr>
              <w:t>1.0</w:t>
            </w:r>
          </w:p>
        </w:tc>
      </w:tr>
      <w:tr>
        <w:trPr>
          <w:cantSplit/>
        </w:trPr>
        <w:tc>
          <w:tcPr>
            <w:tcW w:type="dxa" w:w="5040"/>
            <w:vAlign w:val="center"/>
          </w:tcPr>
          <w:p>
            <w:pPr>
              <w:spacing w:after="0"/>
            </w:pPr>
            <w:r>
              <w:rPr>
                <w:rFonts w:ascii="Arial" w:hAnsi="Arial"/>
                <w:sz w:val="18"/>
              </w:rPr>
            </w:r>
            <w:r>
              <w:rPr>
                <w:rFonts w:ascii="Arial" w:hAnsi="Arial"/>
                <w:b w:val="0"/>
                <w:sz w:val="18"/>
              </w:rPr>
              <w:t>Less than 60%</w:t>
            </w:r>
          </w:p>
        </w:tc>
        <w:tc>
          <w:tcPr>
            <w:tcW w:type="dxa" w:w="5040"/>
            <w:vAlign w:val="center"/>
          </w:tcPr>
          <w:p>
            <w:pPr>
              <w:spacing w:after="0"/>
            </w:pPr>
            <w:r>
              <w:rPr>
                <w:rFonts w:ascii="Arial" w:hAnsi="Arial"/>
                <w:sz w:val="18"/>
              </w:rPr>
            </w:r>
            <w:r>
              <w:rPr>
                <w:rFonts w:ascii="Arial" w:hAnsi="Arial"/>
                <w:b w:val="0"/>
                <w:sz w:val="18"/>
              </w:rPr>
              <w:t>0.0</w:t>
            </w:r>
          </w:p>
        </w:tc>
      </w:tr>
    </w:tbl>
    <w:p>
      <w:pPr>
        <w:pStyle w:val="Heading1"/>
      </w:pPr>
      <w:r>
        <w:t>Important times and dates</w:t>
      </w:r>
    </w:p>
    <w:p>
      <w:r>
        <w:rPr>
          <w:b/>
        </w:rPr>
        <w:t xml:space="preserve">Exam dates/times, and requesting alternatives: </w:t>
      </w:r>
      <w:r>
        <w:t>The times and dates for exams are listed in the course schedule below. If you have a good reason why you cannot take an exam at the assigned time, email the graduate TA identifying the issue. For valid requests received before the exam time, we can reschedule the day and/or time. Please review your availability now; if you miss an exam and contact the TA only after the assigned time has passed, there may be little we can do to help.</w:t>
      </w:r>
    </w:p>
    <w:p>
      <w:pPr>
        <w:pStyle w:val="Heading2"/>
      </w:pPr>
      <w:r>
        <w:t>Course schedule</w:t>
      </w:r>
    </w:p>
    <w:tbl>
      <w:tblPr>
        <w:tblStyle w:val="TableGrid"/>
        <w:tblW w:type="auto" w:w="0"/>
        <w:jc w:val="center"/>
        <w:tblLook w:firstColumn="1" w:firstRow="1" w:lastColumn="0" w:lastRow="0" w:noHBand="0" w:noVBand="1" w:val="04A0"/>
        <w:tblCaption w:val="Fall 2026 course schedule"/>
        <w:tblDescription w:val="Dates for lectures, exams, recommended textbook chapters, online experiment deadlines, breaks, and key drop deadlines."/>
      </w:tblPr>
      <w:tblGrid>
        <w:gridCol w:w="2520"/>
        <w:gridCol w:w="2520"/>
        <w:gridCol w:w="2520"/>
        <w:gridCol w:w="2520"/>
      </w:tblGrid>
      <w:tr>
        <w:trPr>
          <w:tblHeader w:val="true"/>
          <w:cantSplit/>
        </w:trPr>
        <w:tc>
          <w:tcPr>
            <w:tcW w:type="dxa" w:w="2520"/>
            <w:vAlign w:val="center"/>
            <w:shd w:fill="D9EAD3"/>
          </w:tcPr>
          <w:p>
            <w:pPr>
              <w:spacing w:after="0"/>
            </w:pPr>
            <w:r>
              <w:rPr>
                <w:rFonts w:ascii="Arial" w:hAnsi="Arial" w:eastAsia="Arial" w:cs="Arial"/>
                <w:sz w:val="18"/>
              </w:rPr>
            </w:r>
            <w:r>
              <w:rPr>
                <w:rFonts w:ascii="Arial" w:hAnsi="Arial" w:eastAsia="Arial" w:cs="Arial"/>
                <w:b/>
                <w:sz w:val="18"/>
              </w:rPr>
              <w:t>Date</w:t>
            </w:r>
          </w:p>
        </w:tc>
        <w:tc>
          <w:tcPr>
            <w:tcW w:type="dxa" w:w="2520"/>
            <w:vAlign w:val="center"/>
            <w:shd w:fill="D9EAD3"/>
          </w:tcPr>
          <w:p>
            <w:pPr>
              <w:spacing w:after="0"/>
            </w:pPr>
            <w:r>
              <w:rPr>
                <w:rFonts w:ascii="Arial" w:hAnsi="Arial" w:eastAsia="Arial" w:cs="Arial"/>
                <w:sz w:val="18"/>
              </w:rPr>
            </w:r>
            <w:r>
              <w:rPr>
                <w:rFonts w:ascii="Arial" w:hAnsi="Arial" w:eastAsia="Arial" w:cs="Arial"/>
                <w:b/>
                <w:sz w:val="18"/>
              </w:rPr>
              <w:t>Lectures</w:t>
            </w:r>
          </w:p>
        </w:tc>
        <w:tc>
          <w:tcPr>
            <w:tcW w:type="dxa" w:w="2520"/>
            <w:vAlign w:val="center"/>
            <w:shd w:fill="D9EAD3"/>
          </w:tcPr>
          <w:p>
            <w:pPr>
              <w:spacing w:after="0"/>
            </w:pPr>
            <w:r>
              <w:rPr>
                <w:rFonts w:ascii="Arial" w:hAnsi="Arial" w:eastAsia="Arial" w:cs="Arial"/>
                <w:sz w:val="18"/>
              </w:rPr>
            </w:r>
            <w:r>
              <w:rPr>
                <w:rFonts w:ascii="Arial" w:hAnsi="Arial" w:eastAsia="Arial" w:cs="Arial"/>
                <w:b/>
                <w:sz w:val="18"/>
              </w:rPr>
              <w:t>Recommended book chapters accompanying lectures</w:t>
            </w:r>
          </w:p>
        </w:tc>
        <w:tc>
          <w:tcPr>
            <w:tcW w:type="dxa" w:w="2520"/>
            <w:vAlign w:val="center"/>
            <w:shd w:fill="D9EAD3"/>
          </w:tcPr>
          <w:p>
            <w:pPr>
              <w:spacing w:after="0"/>
            </w:pPr>
            <w:r>
              <w:rPr>
                <w:rFonts w:ascii="Arial" w:hAnsi="Arial" w:eastAsia="Arial" w:cs="Arial"/>
                <w:sz w:val="18"/>
              </w:rPr>
            </w:r>
            <w:r>
              <w:rPr>
                <w:rFonts w:ascii="Arial" w:hAnsi="Arial" w:eastAsia="Arial" w:cs="Arial"/>
                <w:b/>
                <w:sz w:val="18"/>
              </w:rPr>
              <w:t>Online experiment deadlines</w:t>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Mon 8/31</w:t>
            </w:r>
          </w:p>
        </w:tc>
        <w:tc>
          <w:tcPr>
            <w:tcW w:type="dxa" w:w="2520"/>
            <w:vAlign w:val="center"/>
          </w:tcPr>
          <w:p>
            <w:pPr>
              <w:spacing w:after="0"/>
            </w:pPr>
            <w:r>
              <w:rPr>
                <w:rFonts w:ascii="Arial" w:hAnsi="Arial" w:eastAsia="Arial" w:cs="Arial"/>
                <w:sz w:val="18"/>
              </w:rPr>
            </w:r>
            <w:r>
              <w:rPr>
                <w:rFonts w:ascii="Arial" w:hAnsi="Arial" w:eastAsia="Arial" w:cs="Arial"/>
                <w:b w:val="0"/>
                <w:sz w:val="18"/>
              </w:rPr>
              <w:t>1. Introduction to the course</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Wed 9/2</w:t>
            </w:r>
          </w:p>
        </w:tc>
        <w:tc>
          <w:tcPr>
            <w:tcW w:type="dxa" w:w="2520"/>
            <w:vAlign w:val="center"/>
          </w:tcPr>
          <w:p>
            <w:pPr>
              <w:spacing w:after="0"/>
            </w:pPr>
            <w:r>
              <w:rPr>
                <w:rFonts w:ascii="Arial" w:hAnsi="Arial" w:eastAsia="Arial" w:cs="Arial"/>
                <w:sz w:val="18"/>
              </w:rPr>
            </w:r>
            <w:r>
              <w:rPr>
                <w:rFonts w:ascii="Arial" w:hAnsi="Arial" w:eastAsia="Arial" w:cs="Arial"/>
                <w:b w:val="0"/>
                <w:sz w:val="18"/>
              </w:rPr>
              <w:t>2. History of cognitive psychology 1</w:t>
            </w:r>
          </w:p>
        </w:tc>
        <w:tc>
          <w:tcPr>
            <w:tcW w:type="dxa" w:w="2520"/>
            <w:vAlign w:val="center"/>
          </w:tcPr>
          <w:p>
            <w:pPr>
              <w:spacing w:after="0"/>
            </w:pPr>
            <w:r>
              <w:rPr>
                <w:rFonts w:ascii="Arial" w:hAnsi="Arial" w:eastAsia="Arial" w:cs="Arial"/>
                <w:sz w:val="18"/>
              </w:rPr>
            </w:r>
            <w:r>
              <w:rPr>
                <w:rFonts w:ascii="Arial" w:hAnsi="Arial" w:eastAsia="Arial" w:cs="Arial"/>
                <w:b w:val="0"/>
                <w:sz w:val="18"/>
              </w:rPr>
              <w:t>Ch 1</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b/>
                <w:sz w:val="18"/>
              </w:rPr>
            </w:r>
            <w:r>
              <w:rPr>
                <w:rFonts w:ascii="Arial" w:hAnsi="Arial" w:eastAsia="Arial" w:cs="Arial"/>
                <w:b w:val="0"/>
                <w:sz w:val="18"/>
              </w:rPr>
              <w:t>Mon 9/7</w:t>
            </w:r>
          </w:p>
        </w:tc>
        <w:tc>
          <w:tcPr>
            <w:tcW w:type="dxa" w:w="2520"/>
            <w:vAlign w:val="center"/>
          </w:tcPr>
          <w:p>
            <w:pPr>
              <w:spacing w:after="0"/>
            </w:pPr>
            <w:r>
              <w:rPr>
                <w:rFonts w:ascii="Arial" w:hAnsi="Arial" w:eastAsia="Arial" w:cs="Arial"/>
                <w:b/>
                <w:sz w:val="18"/>
              </w:rPr>
            </w:r>
            <w:r>
              <w:rPr>
                <w:rFonts w:ascii="Arial" w:hAnsi="Arial" w:eastAsia="Arial" w:cs="Arial"/>
                <w:b w:val="0"/>
                <w:sz w:val="18"/>
              </w:rPr>
              <w:t>NO CLASS (Labor Day; University closed)</w:t>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Wed 9/9</w:t>
            </w:r>
          </w:p>
        </w:tc>
        <w:tc>
          <w:tcPr>
            <w:tcW w:type="dxa" w:w="2520"/>
            <w:vAlign w:val="center"/>
          </w:tcPr>
          <w:p>
            <w:pPr>
              <w:spacing w:after="0"/>
            </w:pPr>
            <w:r>
              <w:rPr>
                <w:rFonts w:ascii="Arial" w:hAnsi="Arial" w:eastAsia="Arial" w:cs="Arial"/>
                <w:sz w:val="18"/>
              </w:rPr>
            </w:r>
            <w:r>
              <w:rPr>
                <w:rFonts w:ascii="Arial" w:hAnsi="Arial" w:eastAsia="Arial" w:cs="Arial"/>
                <w:b w:val="0"/>
                <w:sz w:val="18"/>
              </w:rPr>
              <w:t>3. History of cognitive psychology 2</w:t>
            </w:r>
          </w:p>
        </w:tc>
        <w:tc>
          <w:tcPr>
            <w:tcW w:type="dxa" w:w="2520"/>
            <w:vAlign w:val="center"/>
          </w:tcPr>
          <w:p>
            <w:pPr>
              <w:spacing w:after="0"/>
            </w:pPr>
            <w:r>
              <w:rPr>
                <w:rFonts w:ascii="Arial" w:hAnsi="Arial" w:eastAsia="Arial" w:cs="Arial"/>
                <w:sz w:val="18"/>
              </w:rPr>
            </w:r>
            <w:r>
              <w:rPr>
                <w:rFonts w:ascii="Arial" w:hAnsi="Arial" w:eastAsia="Arial" w:cs="Arial"/>
                <w:b w:val="0"/>
                <w:sz w:val="18"/>
              </w:rPr>
              <w:t>Ch 1</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Fri 9/11</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t>Weber Fechner</w:t>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Mon 9/14</w:t>
            </w:r>
          </w:p>
        </w:tc>
        <w:tc>
          <w:tcPr>
            <w:tcW w:type="dxa" w:w="2520"/>
            <w:vAlign w:val="center"/>
          </w:tcPr>
          <w:p>
            <w:pPr>
              <w:spacing w:after="0"/>
            </w:pPr>
            <w:r>
              <w:rPr>
                <w:rFonts w:ascii="Arial" w:hAnsi="Arial" w:eastAsia="Arial" w:cs="Arial"/>
                <w:sz w:val="18"/>
              </w:rPr>
            </w:r>
            <w:r>
              <w:rPr>
                <w:rFonts w:ascii="Arial" w:hAnsi="Arial" w:eastAsia="Arial" w:cs="Arial"/>
                <w:b w:val="0"/>
                <w:sz w:val="18"/>
              </w:rPr>
              <w:t>4. Cognitive neuroscience 1</w:t>
            </w:r>
          </w:p>
        </w:tc>
        <w:tc>
          <w:tcPr>
            <w:tcW w:type="dxa" w:w="2520"/>
            <w:vAlign w:val="center"/>
          </w:tcPr>
          <w:p>
            <w:pPr>
              <w:spacing w:after="0"/>
            </w:pPr>
            <w:r>
              <w:rPr>
                <w:rFonts w:ascii="Arial" w:hAnsi="Arial" w:eastAsia="Arial" w:cs="Arial"/>
                <w:sz w:val="18"/>
              </w:rPr>
            </w:r>
            <w:r>
              <w:rPr>
                <w:rFonts w:ascii="Arial" w:hAnsi="Arial" w:eastAsia="Arial" w:cs="Arial"/>
                <w:b w:val="0"/>
                <w:sz w:val="18"/>
              </w:rPr>
              <w:t>Ch 2</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Wed 9/16</w:t>
            </w:r>
          </w:p>
        </w:tc>
        <w:tc>
          <w:tcPr>
            <w:tcW w:type="dxa" w:w="2520"/>
            <w:vAlign w:val="center"/>
          </w:tcPr>
          <w:p>
            <w:pPr>
              <w:spacing w:after="0"/>
            </w:pPr>
            <w:r>
              <w:rPr>
                <w:rFonts w:ascii="Arial" w:hAnsi="Arial" w:eastAsia="Arial" w:cs="Arial"/>
                <w:sz w:val="18"/>
              </w:rPr>
            </w:r>
            <w:r>
              <w:rPr>
                <w:rFonts w:ascii="Arial" w:hAnsi="Arial" w:eastAsia="Arial" w:cs="Arial"/>
                <w:b w:val="0"/>
                <w:sz w:val="18"/>
              </w:rPr>
              <w:t>5. Cognitive neuroscience 2</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Fri 9/18</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t>Donders decisions</w:t>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Mon 9/21</w:t>
            </w:r>
          </w:p>
        </w:tc>
        <w:tc>
          <w:tcPr>
            <w:tcW w:type="dxa" w:w="2520"/>
            <w:vAlign w:val="center"/>
          </w:tcPr>
          <w:p>
            <w:pPr>
              <w:spacing w:after="0"/>
            </w:pPr>
            <w:r>
              <w:rPr>
                <w:rFonts w:ascii="Arial" w:hAnsi="Arial" w:eastAsia="Arial" w:cs="Arial"/>
                <w:sz w:val="18"/>
              </w:rPr>
            </w:r>
            <w:r>
              <w:rPr>
                <w:rFonts w:ascii="Arial" w:hAnsi="Arial" w:eastAsia="Arial" w:cs="Arial"/>
                <w:b w:val="0"/>
                <w:sz w:val="18"/>
              </w:rPr>
              <w:t>6. Cognitive neuroscience 3</w:t>
            </w:r>
          </w:p>
        </w:tc>
        <w:tc>
          <w:tcPr>
            <w:tcW w:type="dxa" w:w="2520"/>
            <w:vAlign w:val="center"/>
          </w:tcPr>
          <w:p>
            <w:pPr>
              <w:spacing w:after="0"/>
            </w:pPr>
            <w:r>
              <w:rPr>
                <w:rFonts w:ascii="Arial" w:hAnsi="Arial" w:eastAsia="Arial" w:cs="Arial"/>
                <w:sz w:val="18"/>
              </w:rPr>
            </w:r>
            <w:r>
              <w:rPr>
                <w:rFonts w:ascii="Arial" w:hAnsi="Arial" w:eastAsia="Arial" w:cs="Arial"/>
                <w:b w:val="0"/>
                <w:sz w:val="18"/>
              </w:rPr>
              <w:t>Ch 2</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Wed 9/23</w:t>
            </w:r>
          </w:p>
        </w:tc>
        <w:tc>
          <w:tcPr>
            <w:tcW w:type="dxa" w:w="2520"/>
            <w:vAlign w:val="center"/>
          </w:tcPr>
          <w:p>
            <w:pPr>
              <w:spacing w:after="0"/>
            </w:pPr>
            <w:r>
              <w:rPr>
                <w:rFonts w:ascii="Arial" w:hAnsi="Arial" w:eastAsia="Arial" w:cs="Arial"/>
                <w:sz w:val="18"/>
              </w:rPr>
            </w:r>
            <w:r>
              <w:rPr>
                <w:rFonts w:ascii="Arial" w:hAnsi="Arial" w:eastAsia="Arial" w:cs="Arial"/>
                <w:b w:val="0"/>
                <w:sz w:val="18"/>
              </w:rPr>
              <w:t>7. Methods</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b/>
                <w:sz w:val="18"/>
              </w:rPr>
            </w:r>
            <w:r>
              <w:rPr>
                <w:rFonts w:ascii="Arial" w:hAnsi="Arial" w:eastAsia="Arial" w:cs="Arial"/>
                <w:b w:val="0"/>
                <w:sz w:val="18"/>
              </w:rPr>
              <w:t>Thu 9/24</w:t>
            </w:r>
          </w:p>
        </w:tc>
        <w:tc>
          <w:tcPr>
            <w:tcW w:type="dxa" w:w="2520"/>
            <w:vAlign w:val="center"/>
          </w:tcPr>
          <w:p>
            <w:pPr>
              <w:spacing w:after="0"/>
            </w:pPr>
            <w:r>
              <w:rPr>
                <w:rFonts w:ascii="Arial" w:hAnsi="Arial" w:eastAsia="Arial" w:cs="Arial"/>
                <w:b/>
                <w:sz w:val="18"/>
              </w:rPr>
            </w:r>
            <w:r>
              <w:rPr>
                <w:rFonts w:ascii="Arial" w:hAnsi="Arial" w:eastAsia="Arial" w:cs="Arial"/>
                <w:b w:val="0"/>
                <w:sz w:val="18"/>
              </w:rPr>
              <w:t>Last day to drop with refund</w:t>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Fri 9/25</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t>Sternberg search</w:t>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Mon 9/28</w:t>
            </w:r>
          </w:p>
        </w:tc>
        <w:tc>
          <w:tcPr>
            <w:tcW w:type="dxa" w:w="2520"/>
            <w:vAlign w:val="center"/>
          </w:tcPr>
          <w:p>
            <w:pPr>
              <w:spacing w:after="0"/>
            </w:pPr>
            <w:r>
              <w:rPr>
                <w:rFonts w:ascii="Arial" w:hAnsi="Arial" w:eastAsia="Arial" w:cs="Arial"/>
                <w:sz w:val="18"/>
              </w:rPr>
            </w:r>
            <w:r>
              <w:rPr>
                <w:rFonts w:ascii="Arial" w:hAnsi="Arial" w:eastAsia="Arial" w:cs="Arial"/>
                <w:b w:val="0"/>
                <w:sz w:val="18"/>
              </w:rPr>
              <w:t>8. Review for Exam 1</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b/>
                <w:sz w:val="18"/>
              </w:rPr>
            </w:r>
            <w:r>
              <w:rPr>
                <w:rFonts w:ascii="Arial" w:hAnsi="Arial" w:eastAsia="Arial" w:cs="Arial"/>
                <w:b w:val="0"/>
                <w:sz w:val="18"/>
              </w:rPr>
              <w:t>Wed 9/30</w:t>
            </w:r>
          </w:p>
        </w:tc>
        <w:tc>
          <w:tcPr>
            <w:tcW w:type="dxa" w:w="2520"/>
            <w:vAlign w:val="center"/>
          </w:tcPr>
          <w:p>
            <w:pPr>
              <w:spacing w:after="0"/>
            </w:pPr>
            <w:r>
              <w:rPr>
                <w:rFonts w:ascii="Arial" w:hAnsi="Arial" w:eastAsia="Arial" w:cs="Arial"/>
                <w:b/>
                <w:sz w:val="18"/>
              </w:rPr>
            </w:r>
            <w:r>
              <w:rPr>
                <w:rFonts w:ascii="Arial" w:hAnsi="Arial" w:eastAsia="Arial" w:cs="Arial"/>
                <w:b w:val="0"/>
                <w:sz w:val="18"/>
              </w:rPr>
              <w:t>EXAM 1</w:t>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Mon 10/5</w:t>
            </w:r>
          </w:p>
        </w:tc>
        <w:tc>
          <w:tcPr>
            <w:tcW w:type="dxa" w:w="2520"/>
            <w:vAlign w:val="center"/>
          </w:tcPr>
          <w:p>
            <w:pPr>
              <w:spacing w:after="0"/>
            </w:pPr>
            <w:r>
              <w:rPr>
                <w:rFonts w:ascii="Arial" w:hAnsi="Arial" w:eastAsia="Arial" w:cs="Arial"/>
                <w:sz w:val="18"/>
              </w:rPr>
            </w:r>
            <w:r>
              <w:rPr>
                <w:rFonts w:ascii="Arial" w:hAnsi="Arial" w:eastAsia="Arial" w:cs="Arial"/>
                <w:b w:val="0"/>
                <w:sz w:val="18"/>
              </w:rPr>
              <w:t>9. Perception 1</w:t>
            </w:r>
          </w:p>
        </w:tc>
        <w:tc>
          <w:tcPr>
            <w:tcW w:type="dxa" w:w="2520"/>
            <w:vAlign w:val="center"/>
          </w:tcPr>
          <w:p>
            <w:pPr>
              <w:spacing w:after="0"/>
            </w:pPr>
            <w:r>
              <w:rPr>
                <w:rFonts w:ascii="Arial" w:hAnsi="Arial" w:eastAsia="Arial" w:cs="Arial"/>
                <w:sz w:val="18"/>
              </w:rPr>
            </w:r>
            <w:r>
              <w:rPr>
                <w:rFonts w:ascii="Arial" w:hAnsi="Arial" w:eastAsia="Arial" w:cs="Arial"/>
                <w:b w:val="0"/>
                <w:sz w:val="18"/>
              </w:rPr>
              <w:t>Ch 3</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Wed 10/7</w:t>
            </w:r>
          </w:p>
        </w:tc>
        <w:tc>
          <w:tcPr>
            <w:tcW w:type="dxa" w:w="2520"/>
            <w:vAlign w:val="center"/>
          </w:tcPr>
          <w:p>
            <w:pPr>
              <w:spacing w:after="0"/>
            </w:pPr>
            <w:r>
              <w:rPr>
                <w:rFonts w:ascii="Arial" w:hAnsi="Arial" w:eastAsia="Arial" w:cs="Arial"/>
                <w:sz w:val="18"/>
              </w:rPr>
            </w:r>
            <w:r>
              <w:rPr>
                <w:rFonts w:ascii="Arial" w:hAnsi="Arial" w:eastAsia="Arial" w:cs="Arial"/>
                <w:b w:val="0"/>
                <w:sz w:val="18"/>
              </w:rPr>
              <w:t>10. Perception 2</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Fri 10/9</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t>Tilt Adaptation</w:t>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Mon 10/12</w:t>
            </w:r>
          </w:p>
        </w:tc>
        <w:tc>
          <w:tcPr>
            <w:tcW w:type="dxa" w:w="2520"/>
            <w:vAlign w:val="center"/>
          </w:tcPr>
          <w:p>
            <w:pPr>
              <w:spacing w:after="0"/>
            </w:pPr>
            <w:r>
              <w:rPr>
                <w:rFonts w:ascii="Arial" w:hAnsi="Arial" w:eastAsia="Arial" w:cs="Arial"/>
                <w:sz w:val="18"/>
              </w:rPr>
            </w:r>
            <w:r>
              <w:rPr>
                <w:rFonts w:ascii="Arial" w:hAnsi="Arial" w:eastAsia="Arial" w:cs="Arial"/>
                <w:b w:val="0"/>
                <w:sz w:val="18"/>
              </w:rPr>
              <w:t>11. Perception 3</w:t>
            </w:r>
          </w:p>
        </w:tc>
        <w:tc>
          <w:tcPr>
            <w:tcW w:type="dxa" w:w="2520"/>
            <w:vAlign w:val="center"/>
          </w:tcPr>
          <w:p>
            <w:pPr>
              <w:spacing w:after="0"/>
            </w:pPr>
            <w:r>
              <w:rPr>
                <w:rFonts w:ascii="Arial" w:hAnsi="Arial" w:eastAsia="Arial" w:cs="Arial"/>
                <w:sz w:val="18"/>
              </w:rPr>
            </w:r>
            <w:r>
              <w:rPr>
                <w:rFonts w:ascii="Arial" w:hAnsi="Arial" w:eastAsia="Arial" w:cs="Arial"/>
                <w:b w:val="0"/>
                <w:sz w:val="18"/>
              </w:rPr>
              <w:t>Ch 3</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Wed 10/14</w:t>
            </w:r>
          </w:p>
        </w:tc>
        <w:tc>
          <w:tcPr>
            <w:tcW w:type="dxa" w:w="2520"/>
            <w:vAlign w:val="center"/>
          </w:tcPr>
          <w:p>
            <w:pPr>
              <w:spacing w:after="0"/>
            </w:pPr>
            <w:r>
              <w:rPr>
                <w:rFonts w:ascii="Arial" w:hAnsi="Arial" w:eastAsia="Arial" w:cs="Arial"/>
                <w:sz w:val="18"/>
              </w:rPr>
            </w:r>
            <w:r>
              <w:rPr>
                <w:rFonts w:ascii="Arial" w:hAnsi="Arial" w:eastAsia="Arial" w:cs="Arial"/>
                <w:b w:val="0"/>
                <w:sz w:val="18"/>
              </w:rPr>
              <w:t>12. Perception 4 + Attention 1</w:t>
            </w:r>
          </w:p>
        </w:tc>
        <w:tc>
          <w:tcPr>
            <w:tcW w:type="dxa" w:w="2520"/>
            <w:vAlign w:val="center"/>
          </w:tcPr>
          <w:p>
            <w:pPr>
              <w:spacing w:after="0"/>
            </w:pPr>
            <w:r>
              <w:rPr>
                <w:rFonts w:ascii="Arial" w:hAnsi="Arial" w:eastAsia="Arial" w:cs="Arial"/>
                <w:sz w:val="18"/>
              </w:rPr>
            </w:r>
            <w:r>
              <w:rPr>
                <w:rFonts w:ascii="Arial" w:hAnsi="Arial" w:eastAsia="Arial" w:cs="Arial"/>
                <w:b w:val="0"/>
                <w:sz w:val="18"/>
              </w:rPr>
              <w:t>Ch 4</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Fri 10/16</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t>Blind spot</w:t>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Mon 10/19</w:t>
            </w:r>
          </w:p>
        </w:tc>
        <w:tc>
          <w:tcPr>
            <w:tcW w:type="dxa" w:w="2520"/>
            <w:vAlign w:val="center"/>
          </w:tcPr>
          <w:p>
            <w:pPr>
              <w:spacing w:after="0"/>
            </w:pPr>
            <w:r>
              <w:rPr>
                <w:rFonts w:ascii="Arial" w:hAnsi="Arial" w:eastAsia="Arial" w:cs="Arial"/>
                <w:sz w:val="18"/>
              </w:rPr>
            </w:r>
            <w:r>
              <w:rPr>
                <w:rFonts w:ascii="Arial" w:hAnsi="Arial" w:eastAsia="Arial" w:cs="Arial"/>
                <w:b w:val="0"/>
                <w:sz w:val="18"/>
              </w:rPr>
              <w:t>13. Attention 2; last day to drop with no grade reported</w:t>
            </w:r>
          </w:p>
        </w:tc>
        <w:tc>
          <w:tcPr>
            <w:tcW w:type="dxa" w:w="2520"/>
            <w:vAlign w:val="center"/>
          </w:tcPr>
          <w:p>
            <w:pPr>
              <w:spacing w:after="0"/>
            </w:pPr>
            <w:r>
              <w:rPr>
                <w:rFonts w:ascii="Arial" w:hAnsi="Arial" w:eastAsia="Arial" w:cs="Arial"/>
                <w:sz w:val="18"/>
              </w:rPr>
            </w:r>
            <w:r>
              <w:rPr>
                <w:rFonts w:ascii="Arial" w:hAnsi="Arial" w:eastAsia="Arial" w:cs="Arial"/>
                <w:b w:val="0"/>
                <w:sz w:val="18"/>
              </w:rPr>
              <w:t>Ch 4</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Wed 10/21</w:t>
            </w:r>
          </w:p>
        </w:tc>
        <w:tc>
          <w:tcPr>
            <w:tcW w:type="dxa" w:w="2520"/>
            <w:vAlign w:val="center"/>
          </w:tcPr>
          <w:p>
            <w:pPr>
              <w:spacing w:after="0"/>
            </w:pPr>
            <w:r>
              <w:rPr>
                <w:rFonts w:ascii="Arial" w:hAnsi="Arial" w:eastAsia="Arial" w:cs="Arial"/>
                <w:sz w:val="18"/>
              </w:rPr>
            </w:r>
            <w:r>
              <w:rPr>
                <w:rFonts w:ascii="Arial" w:hAnsi="Arial" w:eastAsia="Arial" w:cs="Arial"/>
                <w:b w:val="0"/>
                <w:sz w:val="18"/>
              </w:rPr>
              <w:t>14. Attention 3 + Memory 1</w:t>
            </w:r>
          </w:p>
        </w:tc>
        <w:tc>
          <w:tcPr>
            <w:tcW w:type="dxa" w:w="2520"/>
            <w:vAlign w:val="center"/>
          </w:tcPr>
          <w:p>
            <w:pPr>
              <w:spacing w:after="0"/>
            </w:pPr>
            <w:r>
              <w:rPr>
                <w:rFonts w:ascii="Arial" w:hAnsi="Arial" w:eastAsia="Arial" w:cs="Arial"/>
                <w:sz w:val="18"/>
              </w:rPr>
            </w:r>
            <w:r>
              <w:rPr>
                <w:rFonts w:ascii="Arial" w:hAnsi="Arial" w:eastAsia="Arial" w:cs="Arial"/>
                <w:b w:val="0"/>
                <w:sz w:val="18"/>
              </w:rPr>
              <w:t>Ch 5</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Fri 10/23</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t>Stroop effect</w:t>
            </w:r>
          </w:p>
        </w:tc>
      </w:tr>
      <w:tr>
        <w:trPr>
          <w:cantSplit/>
        </w:trPr>
        <w:tc>
          <w:tcPr>
            <w:tcW w:type="dxa" w:w="2520"/>
            <w:vAlign w:val="center"/>
          </w:tcPr>
          <w:p>
            <w:pPr>
              <w:spacing w:after="0"/>
            </w:pPr>
            <w:r>
              <w:rPr>
                <w:rFonts w:ascii="Arial" w:hAnsi="Arial" w:eastAsia="Arial" w:cs="Arial"/>
                <w:b/>
                <w:sz w:val="18"/>
              </w:rPr>
            </w:r>
            <w:r>
              <w:rPr>
                <w:rFonts w:ascii="Arial" w:hAnsi="Arial" w:eastAsia="Arial" w:cs="Arial"/>
                <w:b w:val="0"/>
                <w:sz w:val="18"/>
              </w:rPr>
              <w:t>Mon 10/26</w:t>
            </w:r>
          </w:p>
        </w:tc>
        <w:tc>
          <w:tcPr>
            <w:tcW w:type="dxa" w:w="2520"/>
            <w:vAlign w:val="center"/>
          </w:tcPr>
          <w:p>
            <w:pPr>
              <w:spacing w:after="0"/>
            </w:pPr>
            <w:r>
              <w:rPr>
                <w:rFonts w:ascii="Arial" w:hAnsi="Arial" w:eastAsia="Arial" w:cs="Arial"/>
                <w:b/>
                <w:sz w:val="18"/>
              </w:rPr>
            </w:r>
            <w:r>
              <w:rPr>
                <w:rFonts w:ascii="Arial" w:hAnsi="Arial" w:eastAsia="Arial" w:cs="Arial"/>
                <w:b w:val="0"/>
                <w:sz w:val="18"/>
              </w:rPr>
              <w:t>NO CLASS (Fall Break)</w:t>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Wed 10/28</w:t>
            </w:r>
          </w:p>
        </w:tc>
        <w:tc>
          <w:tcPr>
            <w:tcW w:type="dxa" w:w="2520"/>
            <w:vAlign w:val="center"/>
          </w:tcPr>
          <w:p>
            <w:pPr>
              <w:spacing w:after="0"/>
            </w:pPr>
            <w:r>
              <w:rPr>
                <w:rFonts w:ascii="Arial" w:hAnsi="Arial" w:eastAsia="Arial" w:cs="Arial"/>
                <w:sz w:val="18"/>
              </w:rPr>
            </w:r>
            <w:r>
              <w:rPr>
                <w:rFonts w:ascii="Arial" w:hAnsi="Arial" w:eastAsia="Arial" w:cs="Arial"/>
                <w:b w:val="0"/>
                <w:sz w:val="18"/>
              </w:rPr>
              <w:t>15. Memory 2</w:t>
            </w:r>
          </w:p>
        </w:tc>
        <w:tc>
          <w:tcPr>
            <w:tcW w:type="dxa" w:w="2520"/>
            <w:vAlign w:val="center"/>
          </w:tcPr>
          <w:p>
            <w:pPr>
              <w:spacing w:after="0"/>
            </w:pPr>
            <w:r>
              <w:rPr>
                <w:rFonts w:ascii="Arial" w:hAnsi="Arial" w:eastAsia="Arial" w:cs="Arial"/>
                <w:sz w:val="18"/>
              </w:rPr>
            </w:r>
            <w:r>
              <w:rPr>
                <w:rFonts w:ascii="Arial" w:hAnsi="Arial" w:eastAsia="Arial" w:cs="Arial"/>
                <w:b w:val="0"/>
                <w:sz w:val="18"/>
              </w:rPr>
              <w:t>Ch 6 and Ch 7</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Mon 11/2</w:t>
            </w:r>
          </w:p>
        </w:tc>
        <w:tc>
          <w:tcPr>
            <w:tcW w:type="dxa" w:w="2520"/>
            <w:vAlign w:val="center"/>
          </w:tcPr>
          <w:p>
            <w:pPr>
              <w:spacing w:after="0"/>
            </w:pPr>
            <w:r>
              <w:rPr>
                <w:rFonts w:ascii="Arial" w:hAnsi="Arial" w:eastAsia="Arial" w:cs="Arial"/>
                <w:sz w:val="18"/>
              </w:rPr>
            </w:r>
            <w:r>
              <w:rPr>
                <w:rFonts w:ascii="Arial" w:hAnsi="Arial" w:eastAsia="Arial" w:cs="Arial"/>
                <w:b w:val="0"/>
                <w:sz w:val="18"/>
              </w:rPr>
              <w:t>16. Memory 3</w:t>
            </w:r>
          </w:p>
        </w:tc>
        <w:tc>
          <w:tcPr>
            <w:tcW w:type="dxa" w:w="2520"/>
            <w:vAlign w:val="center"/>
          </w:tcPr>
          <w:p>
            <w:pPr>
              <w:spacing w:after="0"/>
            </w:pPr>
            <w:r>
              <w:rPr>
                <w:rFonts w:ascii="Arial" w:hAnsi="Arial" w:eastAsia="Arial" w:cs="Arial"/>
                <w:sz w:val="18"/>
              </w:rPr>
            </w:r>
            <w:r>
              <w:rPr>
                <w:rFonts w:ascii="Arial" w:hAnsi="Arial" w:eastAsia="Arial" w:cs="Arial"/>
                <w:b w:val="0"/>
                <w:sz w:val="18"/>
              </w:rPr>
              <w:t>Ch 8</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Wed 11/4</w:t>
            </w:r>
          </w:p>
        </w:tc>
        <w:tc>
          <w:tcPr>
            <w:tcW w:type="dxa" w:w="2520"/>
            <w:vAlign w:val="center"/>
          </w:tcPr>
          <w:p>
            <w:pPr>
              <w:spacing w:after="0"/>
            </w:pPr>
            <w:r>
              <w:rPr>
                <w:rFonts w:ascii="Arial" w:hAnsi="Arial" w:eastAsia="Arial" w:cs="Arial"/>
                <w:sz w:val="18"/>
              </w:rPr>
            </w:r>
            <w:r>
              <w:rPr>
                <w:rFonts w:ascii="Arial" w:hAnsi="Arial" w:eastAsia="Arial" w:cs="Arial"/>
                <w:b w:val="0"/>
                <w:sz w:val="18"/>
              </w:rPr>
              <w:t>17. Review for Exam 2</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r>
      <w:tr>
        <w:trPr>
          <w:cantSplit/>
        </w:trPr>
        <w:tc>
          <w:tcPr>
            <w:tcW w:type="dxa" w:w="2520"/>
            <w:vAlign w:val="center"/>
          </w:tcPr>
          <w:p>
            <w:pPr>
              <w:spacing w:after="0"/>
            </w:pPr>
            <w:r>
              <w:rPr>
                <w:rFonts w:ascii="Arial" w:hAnsi="Arial" w:eastAsia="Arial" w:cs="Arial"/>
                <w:b/>
                <w:sz w:val="18"/>
              </w:rPr>
            </w:r>
            <w:r>
              <w:rPr>
                <w:rFonts w:ascii="Arial" w:hAnsi="Arial" w:eastAsia="Arial" w:cs="Arial"/>
                <w:b w:val="0"/>
                <w:sz w:val="18"/>
              </w:rPr>
              <w:t>Mon 11/9</w:t>
            </w:r>
          </w:p>
        </w:tc>
        <w:tc>
          <w:tcPr>
            <w:tcW w:type="dxa" w:w="2520"/>
            <w:vAlign w:val="center"/>
          </w:tcPr>
          <w:p>
            <w:pPr>
              <w:spacing w:after="0"/>
            </w:pPr>
            <w:r>
              <w:rPr>
                <w:rFonts w:ascii="Arial" w:hAnsi="Arial" w:eastAsia="Arial" w:cs="Arial"/>
                <w:b/>
                <w:sz w:val="18"/>
              </w:rPr>
            </w:r>
            <w:r>
              <w:rPr>
                <w:rFonts w:ascii="Arial" w:hAnsi="Arial" w:eastAsia="Arial" w:cs="Arial"/>
                <w:b w:val="0"/>
                <w:sz w:val="18"/>
              </w:rPr>
              <w:t>EXAM 2</w:t>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r>
      <w:tr>
        <w:trPr>
          <w:cantSplit/>
        </w:trPr>
        <w:tc>
          <w:tcPr>
            <w:tcW w:type="dxa" w:w="2520"/>
            <w:vAlign w:val="center"/>
          </w:tcPr>
          <w:p>
            <w:r>
              <w:rPr>
                <w:rFonts w:ascii="Arial" w:hAnsi="Arial" w:eastAsia="Arial" w:cs="Arial"/>
                <w:sz w:val="18"/>
              </w:rPr>
              <w:t>Wed 11/11</w:t>
            </w:r>
          </w:p>
        </w:tc>
        <w:tc>
          <w:tcPr>
            <w:tcW w:type="dxa" w:w="2520"/>
            <w:vAlign w:val="center"/>
          </w:tcPr>
          <w:p>
            <w:r>
              <w:rPr>
                <w:rFonts w:ascii="Arial" w:hAnsi="Arial" w:eastAsia="Arial" w:cs="Arial"/>
                <w:sz w:val="18"/>
              </w:rPr>
              <w:t>18. Conceptual knowledge</w:t>
            </w:r>
          </w:p>
        </w:tc>
        <w:tc>
          <w:tcPr>
            <w:tcW w:type="dxa" w:w="2520"/>
            <w:vAlign w:val="center"/>
          </w:tcPr>
          <w:p>
            <w:r>
              <w:rPr>
                <w:rFonts w:ascii="Arial" w:hAnsi="Arial" w:eastAsia="Arial" w:cs="Arial"/>
                <w:sz w:val="18"/>
              </w:rPr>
            </w:r>
          </w:p>
        </w:tc>
        <w:tc>
          <w:tcPr>
            <w:tcW w:type="dxa" w:w="2520"/>
            <w:vAlign w:val="center"/>
          </w:tcPr>
          <w:p>
            <w:r>
              <w:rPr>
                <w:rFonts w:ascii="Arial" w:hAnsi="Arial" w:eastAsia="Arial" w:cs="Arial"/>
                <w:sz w:val="18"/>
              </w:rPr>
            </w:r>
          </w:p>
        </w:tc>
      </w:tr>
      <w:tr>
        <w:trPr>
          <w:cantSplit/>
        </w:trPr>
        <w:tc>
          <w:tcPr>
            <w:tcW w:type="dxa" w:w="2520"/>
            <w:vAlign w:val="center"/>
          </w:tcPr>
          <w:p>
            <w:r>
              <w:rPr>
                <w:rFonts w:ascii="Arial" w:hAnsi="Arial" w:eastAsia="Arial" w:cs="Arial"/>
                <w:sz w:val="18"/>
              </w:rPr>
              <w:t>Mon 11/16</w:t>
            </w:r>
          </w:p>
        </w:tc>
        <w:tc>
          <w:tcPr>
            <w:tcW w:type="dxa" w:w="2520"/>
            <w:vAlign w:val="center"/>
          </w:tcPr>
          <w:p>
            <w:r>
              <w:rPr>
                <w:rFonts w:ascii="Arial" w:hAnsi="Arial" w:eastAsia="Arial" w:cs="Arial"/>
                <w:sz w:val="18"/>
              </w:rPr>
              <w:t>19. Imagery</w:t>
            </w:r>
          </w:p>
        </w:tc>
        <w:tc>
          <w:tcPr>
            <w:tcW w:type="dxa" w:w="2520"/>
            <w:vAlign w:val="center"/>
          </w:tcPr>
          <w:p>
            <w:r>
              <w:rPr>
                <w:rFonts w:ascii="Arial" w:hAnsi="Arial" w:eastAsia="Arial" w:cs="Arial"/>
                <w:sz w:val="18"/>
              </w:rPr>
              <w:t>Ch 10</w:t>
            </w:r>
          </w:p>
        </w:tc>
        <w:tc>
          <w:tcPr>
            <w:tcW w:type="dxa" w:w="2520"/>
            <w:vAlign w:val="center"/>
          </w:tcPr>
          <w:p>
            <w:r>
              <w:rPr>
                <w:rFonts w:ascii="Arial" w:hAnsi="Arial" w:eastAsia="Arial" w:cs="Arial"/>
                <w:sz w:val="18"/>
              </w:rPr>
            </w:r>
          </w:p>
        </w:tc>
      </w:tr>
      <w:tr>
        <w:trPr>
          <w:cantSplit/>
        </w:trPr>
        <w:tc>
          <w:tcPr>
            <w:tcW w:type="dxa" w:w="2520"/>
            <w:vAlign w:val="center"/>
          </w:tcPr>
          <w:p>
            <w:r>
              <w:rPr>
                <w:rFonts w:ascii="Arial" w:hAnsi="Arial" w:eastAsia="Arial" w:cs="Arial"/>
                <w:sz w:val="18"/>
              </w:rPr>
              <w:t>Wed 11/18</w:t>
            </w:r>
          </w:p>
        </w:tc>
        <w:tc>
          <w:tcPr>
            <w:tcW w:type="dxa" w:w="2520"/>
            <w:vAlign w:val="center"/>
          </w:tcPr>
          <w:p>
            <w:r>
              <w:rPr>
                <w:rFonts w:ascii="Arial" w:hAnsi="Arial" w:eastAsia="Arial" w:cs="Arial"/>
                <w:sz w:val="18"/>
              </w:rPr>
              <w:t>20. Language 1</w:t>
            </w:r>
          </w:p>
        </w:tc>
        <w:tc>
          <w:tcPr>
            <w:tcW w:type="dxa" w:w="2520"/>
            <w:vAlign w:val="center"/>
          </w:tcPr>
          <w:p>
            <w:r>
              <w:rPr>
                <w:rFonts w:ascii="Arial" w:hAnsi="Arial" w:eastAsia="Arial" w:cs="Arial"/>
                <w:sz w:val="18"/>
              </w:rPr>
              <w:t>Ch 11</w:t>
            </w:r>
          </w:p>
        </w:tc>
        <w:tc>
          <w:tcPr>
            <w:tcW w:type="dxa" w:w="2520"/>
            <w:vAlign w:val="center"/>
          </w:tcPr>
          <w:p>
            <w:r>
              <w:rPr>
                <w:rFonts w:ascii="Arial" w:hAnsi="Arial" w:eastAsia="Arial" w:cs="Arial"/>
                <w:sz w:val="18"/>
              </w:rPr>
            </w:r>
          </w:p>
        </w:tc>
      </w:tr>
      <w:tr>
        <w:tc>
          <w:tcPr>
            <w:tcW w:type="dxa" w:w="2520"/>
          </w:tcPr>
          <w:p>
            <w:r>
              <w:rPr>
                <w:rFonts w:ascii="Arial" w:hAnsi="Arial" w:eastAsia="Arial" w:cs="Arial"/>
                <w:sz w:val="18"/>
              </w:rPr>
              <w:t>Fri 11/20</w:t>
            </w:r>
          </w:p>
        </w:tc>
        <w:tc>
          <w:tcPr>
            <w:tcW w:type="dxa" w:w="2520"/>
          </w:tcPr>
          <w:p>
            <w:r>
              <w:rPr>
                <w:rFonts w:ascii="Arial" w:hAnsi="Arial" w:eastAsia="Arial" w:cs="Arial"/>
                <w:sz w:val="18"/>
              </w:rPr>
            </w:r>
          </w:p>
        </w:tc>
        <w:tc>
          <w:tcPr>
            <w:tcW w:type="dxa" w:w="2520"/>
          </w:tcPr>
          <w:p>
            <w:r>
              <w:rPr>
                <w:rFonts w:ascii="Arial" w:hAnsi="Arial" w:eastAsia="Arial" w:cs="Arial"/>
                <w:sz w:val="18"/>
              </w:rPr>
            </w:r>
          </w:p>
        </w:tc>
        <w:tc>
          <w:tcPr>
            <w:tcW w:type="dxa" w:w="2520"/>
          </w:tcPr>
          <w:p>
            <w:r>
              <w:rPr>
                <w:rFonts w:ascii="Arial" w:hAnsi="Arial" w:eastAsia="Arial" w:cs="Arial"/>
                <w:sz w:val="18"/>
              </w:rPr>
              <w:t>Word superiority</w:t>
            </w:r>
          </w:p>
        </w:tc>
      </w:tr>
      <w:tr>
        <w:trPr>
          <w:cantSplit/>
        </w:trPr>
        <w:tc>
          <w:tcPr>
            <w:tcW w:type="dxa" w:w="2520"/>
            <w:vAlign w:val="center"/>
          </w:tcPr>
          <w:p>
            <w:r>
              <w:rPr>
                <w:rFonts w:ascii="Arial" w:hAnsi="Arial" w:eastAsia="Arial" w:cs="Arial"/>
                <w:sz w:val="18"/>
              </w:rPr>
              <w:t>Mon 11/23</w:t>
            </w:r>
          </w:p>
        </w:tc>
        <w:tc>
          <w:tcPr>
            <w:tcW w:type="dxa" w:w="2520"/>
            <w:vAlign w:val="center"/>
          </w:tcPr>
          <w:p>
            <w:r>
              <w:rPr>
                <w:rFonts w:ascii="Arial" w:hAnsi="Arial" w:eastAsia="Arial" w:cs="Arial"/>
                <w:sz w:val="18"/>
              </w:rPr>
              <w:t>21. Language 2</w:t>
            </w:r>
          </w:p>
        </w:tc>
        <w:tc>
          <w:tcPr>
            <w:tcW w:type="dxa" w:w="2520"/>
            <w:vAlign w:val="center"/>
          </w:tcPr>
          <w:p>
            <w:r>
              <w:rPr>
                <w:rFonts w:ascii="Arial" w:hAnsi="Arial" w:eastAsia="Arial" w:cs="Arial"/>
                <w:sz w:val="18"/>
              </w:rPr>
            </w:r>
          </w:p>
        </w:tc>
        <w:tc>
          <w:tcPr>
            <w:tcW w:type="dxa" w:w="2520"/>
            <w:vAlign w:val="center"/>
          </w:tcPr>
          <w:p>
            <w:r>
              <w:rPr>
                <w:rFonts w:ascii="Arial" w:hAnsi="Arial" w:eastAsia="Arial" w:cs="Arial"/>
                <w:sz w:val="18"/>
              </w:rPr>
            </w:r>
          </w:p>
        </w:tc>
      </w:tr>
      <w:tr>
        <w:trPr>
          <w:cantSplit/>
        </w:trPr>
        <w:tc>
          <w:tcPr>
            <w:tcW w:type="dxa" w:w="2520"/>
            <w:vAlign w:val="center"/>
          </w:tcPr>
          <w:p>
            <w:r>
              <w:rPr>
                <w:rFonts w:ascii="Arial" w:hAnsi="Arial" w:eastAsia="Arial" w:cs="Arial"/>
                <w:sz w:val="18"/>
              </w:rPr>
              <w:t>Wed 11/25</w:t>
            </w:r>
          </w:p>
        </w:tc>
        <w:tc>
          <w:tcPr>
            <w:tcW w:type="dxa" w:w="2520"/>
            <w:vAlign w:val="center"/>
          </w:tcPr>
          <w:p>
            <w:r>
              <w:rPr>
                <w:rFonts w:ascii="Arial" w:hAnsi="Arial" w:eastAsia="Arial" w:cs="Arial"/>
                <w:sz w:val="18"/>
              </w:rPr>
              <w:t>NO CLASS (Instructor absent)</w:t>
            </w:r>
          </w:p>
        </w:tc>
        <w:tc>
          <w:tcPr>
            <w:tcW w:type="dxa" w:w="2520"/>
            <w:vAlign w:val="center"/>
          </w:tcPr>
          <w:p>
            <w:r>
              <w:rPr>
                <w:rFonts w:ascii="Arial" w:hAnsi="Arial" w:eastAsia="Arial" w:cs="Arial"/>
                <w:sz w:val="18"/>
              </w:rPr>
            </w:r>
          </w:p>
        </w:tc>
        <w:tc>
          <w:tcPr>
            <w:tcW w:type="dxa" w:w="2520"/>
            <w:vAlign w:val="center"/>
          </w:tcPr>
          <w:p>
            <w:r>
              <w:rPr>
                <w:rFonts w:ascii="Arial" w:hAnsi="Arial" w:eastAsia="Arial" w:cs="Arial"/>
                <w:sz w:val="18"/>
              </w:rPr>
            </w:r>
          </w:p>
        </w:tc>
      </w:tr>
      <w:tr>
        <w:trPr>
          <w:cantSplit/>
        </w:trPr>
        <w:tc>
          <w:tcPr>
            <w:tcW w:type="dxa" w:w="2520"/>
            <w:vAlign w:val="center"/>
          </w:tcPr>
          <w:p>
            <w:r>
              <w:rPr>
                <w:rFonts w:ascii="Arial" w:hAnsi="Arial" w:eastAsia="Arial" w:cs="Arial"/>
                <w:sz w:val="18"/>
              </w:rPr>
              <w:t>Mon 11/30</w:t>
            </w:r>
          </w:p>
        </w:tc>
        <w:tc>
          <w:tcPr>
            <w:tcW w:type="dxa" w:w="2520"/>
            <w:vAlign w:val="center"/>
          </w:tcPr>
          <w:p>
            <w:r>
              <w:rPr>
                <w:rFonts w:ascii="Arial" w:hAnsi="Arial" w:eastAsia="Arial" w:cs="Arial"/>
                <w:sz w:val="18"/>
              </w:rPr>
              <w:t>22. Language 3 + Problem solving 1</w:t>
            </w:r>
          </w:p>
        </w:tc>
        <w:tc>
          <w:tcPr>
            <w:tcW w:type="dxa" w:w="2520"/>
            <w:vAlign w:val="center"/>
          </w:tcPr>
          <w:p>
            <w:r>
              <w:rPr>
                <w:rFonts w:ascii="Arial" w:hAnsi="Arial" w:eastAsia="Arial" w:cs="Arial"/>
                <w:sz w:val="18"/>
              </w:rPr>
              <w:t>Ch 12</w:t>
            </w:r>
          </w:p>
        </w:tc>
        <w:tc>
          <w:tcPr>
            <w:tcW w:type="dxa" w:w="2520"/>
            <w:vAlign w:val="center"/>
          </w:tcPr>
          <w:p>
            <w:r>
              <w:rPr>
                <w:rFonts w:ascii="Arial" w:hAnsi="Arial" w:eastAsia="Arial" w:cs="Arial"/>
                <w:sz w:val="18"/>
              </w:rPr>
            </w:r>
          </w:p>
        </w:tc>
      </w:tr>
      <w:tr>
        <w:trPr>
          <w:cantSplit/>
        </w:trPr>
        <w:tc>
          <w:tcPr>
            <w:tcW w:type="dxa" w:w="2520"/>
            <w:vAlign w:val="center"/>
          </w:tcPr>
          <w:p>
            <w:r>
              <w:rPr>
                <w:rFonts w:ascii="Arial" w:hAnsi="Arial" w:eastAsia="Arial" w:cs="Arial"/>
                <w:sz w:val="18"/>
              </w:rPr>
              <w:t>Wed 12/2</w:t>
            </w:r>
          </w:p>
        </w:tc>
        <w:tc>
          <w:tcPr>
            <w:tcW w:type="dxa" w:w="2520"/>
            <w:vAlign w:val="center"/>
          </w:tcPr>
          <w:p>
            <w:r>
              <w:rPr>
                <w:rFonts w:ascii="Arial" w:hAnsi="Arial" w:eastAsia="Arial" w:cs="Arial"/>
                <w:sz w:val="18"/>
              </w:rPr>
              <w:t>23. Problem solving 2</w:t>
            </w:r>
          </w:p>
        </w:tc>
        <w:tc>
          <w:tcPr>
            <w:tcW w:type="dxa" w:w="2520"/>
            <w:vAlign w:val="center"/>
          </w:tcPr>
          <w:p>
            <w:r>
              <w:rPr>
                <w:rFonts w:ascii="Arial" w:hAnsi="Arial" w:eastAsia="Arial" w:cs="Arial"/>
                <w:sz w:val="18"/>
              </w:rPr>
            </w:r>
          </w:p>
        </w:tc>
        <w:tc>
          <w:tcPr>
            <w:tcW w:type="dxa" w:w="2520"/>
            <w:vAlign w:val="center"/>
          </w:tcPr>
          <w:p>
            <w:r>
              <w:rPr>
                <w:rFonts w:ascii="Arial" w:hAnsi="Arial" w:eastAsia="Arial" w:cs="Arial"/>
                <w:sz w:val="18"/>
              </w:rPr>
            </w:r>
          </w:p>
        </w:tc>
      </w:tr>
      <w:tr>
        <w:tc>
          <w:tcPr>
            <w:tcW w:type="dxa" w:w="2520"/>
          </w:tcPr>
          <w:p>
            <w:r>
              <w:rPr>
                <w:rFonts w:ascii="Arial" w:hAnsi="Arial" w:eastAsia="Arial" w:cs="Arial"/>
                <w:sz w:val="18"/>
              </w:rPr>
              <w:t>Mon 12/7</w:t>
            </w:r>
          </w:p>
        </w:tc>
        <w:tc>
          <w:tcPr>
            <w:tcW w:type="dxa" w:w="2520"/>
          </w:tcPr>
          <w:p>
            <w:r>
              <w:rPr>
                <w:rFonts w:ascii="Arial" w:hAnsi="Arial" w:eastAsia="Arial" w:cs="Arial"/>
                <w:sz w:val="18"/>
              </w:rPr>
              <w:t>24. Judgment, decisions and reasoning</w:t>
            </w:r>
          </w:p>
        </w:tc>
        <w:tc>
          <w:tcPr>
            <w:tcW w:type="dxa" w:w="2520"/>
          </w:tcPr>
          <w:p>
            <w:r>
              <w:rPr>
                <w:rFonts w:ascii="Arial" w:hAnsi="Arial" w:eastAsia="Arial" w:cs="Arial"/>
                <w:sz w:val="18"/>
              </w:rPr>
              <w:t>Ch 13</w:t>
            </w:r>
          </w:p>
        </w:tc>
        <w:tc>
          <w:tcPr>
            <w:tcW w:type="dxa" w:w="2520"/>
          </w:tcPr>
          <w:p>
            <w:r>
              <w:rPr>
                <w:rFonts w:ascii="Arial" w:hAnsi="Arial" w:eastAsia="Arial" w:cs="Arial"/>
                <w:sz w:val="18"/>
              </w:rPr>
            </w:r>
          </w:p>
        </w:tc>
      </w:tr>
      <w:tr>
        <w:tc>
          <w:tcPr>
            <w:tcW w:type="dxa" w:w="2520"/>
          </w:tcPr>
          <w:p>
            <w:r>
              <w:rPr>
                <w:rFonts w:ascii="Arial" w:hAnsi="Arial" w:eastAsia="Arial" w:cs="Arial"/>
                <w:sz w:val="18"/>
              </w:rPr>
              <w:t>Wed 12/9</w:t>
            </w:r>
          </w:p>
        </w:tc>
        <w:tc>
          <w:tcPr>
            <w:tcW w:type="dxa" w:w="2520"/>
          </w:tcPr>
          <w:p>
            <w:r>
              <w:rPr>
                <w:rFonts w:ascii="Arial" w:hAnsi="Arial" w:eastAsia="Arial" w:cs="Arial"/>
                <w:sz w:val="18"/>
              </w:rPr>
              <w:t>25. Review for Exam 3</w:t>
            </w:r>
          </w:p>
        </w:tc>
        <w:tc>
          <w:tcPr>
            <w:tcW w:type="dxa" w:w="2520"/>
          </w:tcPr>
          <w:p>
            <w:r>
              <w:rPr>
                <w:rFonts w:ascii="Arial" w:hAnsi="Arial" w:eastAsia="Arial" w:cs="Arial"/>
                <w:sz w:val="18"/>
              </w:rPr>
            </w:r>
          </w:p>
        </w:tc>
        <w:tc>
          <w:tcPr>
            <w:tcW w:type="dxa" w:w="2520"/>
          </w:tcPr>
          <w:p>
            <w:r>
              <w:rPr>
                <w:rFonts w:ascii="Arial" w:hAnsi="Arial" w:eastAsia="Arial" w:cs="Arial"/>
                <w:sz w:val="18"/>
              </w:rPr>
            </w:r>
          </w:p>
        </w:tc>
      </w:tr>
      <w:tr>
        <w:trPr>
          <w:cantSplit/>
        </w:trPr>
        <w:tc>
          <w:tcPr>
            <w:tcW w:type="dxa" w:w="2520"/>
            <w:vAlign w:val="center"/>
          </w:tcPr>
          <w:p>
            <w:pPr>
              <w:spacing w:after="0"/>
            </w:pPr>
            <w:r>
              <w:rPr>
                <w:rFonts w:ascii="Arial" w:hAnsi="Arial" w:eastAsia="Arial" w:cs="Arial"/>
                <w:sz w:val="18"/>
              </w:rPr>
            </w:r>
            <w:r>
              <w:rPr>
                <w:rFonts w:ascii="Arial" w:hAnsi="Arial" w:eastAsia="Arial" w:cs="Arial"/>
                <w:b w:val="0"/>
                <w:sz w:val="18"/>
              </w:rPr>
              <w:t>Fri 12/11</w:t>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r>
          </w:p>
        </w:tc>
        <w:tc>
          <w:tcPr>
            <w:tcW w:type="dxa" w:w="2520"/>
            <w:vAlign w:val="center"/>
          </w:tcPr>
          <w:p>
            <w:pPr>
              <w:spacing w:after="0"/>
            </w:pPr>
            <w:r>
              <w:rPr>
                <w:rFonts w:ascii="Arial" w:hAnsi="Arial" w:eastAsia="Arial" w:cs="Arial"/>
                <w:sz w:val="18"/>
              </w:rPr>
            </w:r>
            <w:r>
              <w:rPr>
                <w:rFonts w:ascii="Arial" w:hAnsi="Arial" w:eastAsia="Arial" w:cs="Arial"/>
                <w:b w:val="0"/>
                <w:sz w:val="18"/>
              </w:rPr>
              <w:t>Sona participation deadline, 5 pm</w:t>
            </w:r>
          </w:p>
        </w:tc>
      </w:tr>
      <w:tr>
        <w:trPr>
          <w:cantSplit/>
        </w:trPr>
        <w:tc>
          <w:tcPr>
            <w:tcW w:type="dxa" w:w="2520"/>
            <w:vAlign w:val="center"/>
          </w:tcPr>
          <w:p>
            <w:pPr>
              <w:spacing w:after="0"/>
            </w:pPr>
            <w:r>
              <w:rPr>
                <w:rFonts w:ascii="Arial" w:hAnsi="Arial" w:eastAsia="Arial" w:cs="Arial"/>
                <w:b/>
                <w:sz w:val="18"/>
              </w:rPr>
            </w:r>
            <w:r>
              <w:rPr>
                <w:rFonts w:ascii="Arial" w:hAnsi="Arial" w:eastAsia="Arial" w:cs="Arial"/>
                <w:b w:val="0"/>
                <w:sz w:val="18"/>
              </w:rPr>
              <w:t>Mon 12/14</w:t>
            </w:r>
          </w:p>
        </w:tc>
        <w:tc>
          <w:tcPr>
            <w:tcW w:type="dxa" w:w="2520"/>
            <w:vAlign w:val="center"/>
          </w:tcPr>
          <w:p>
            <w:pPr>
              <w:spacing w:after="0"/>
            </w:pPr>
            <w:r>
              <w:rPr>
                <w:rFonts w:ascii="Arial" w:hAnsi="Arial" w:eastAsia="Arial" w:cs="Arial"/>
                <w:b/>
                <w:sz w:val="18"/>
              </w:rPr>
            </w:r>
            <w:r>
              <w:rPr>
                <w:rFonts w:ascii="Arial" w:hAnsi="Arial" w:eastAsia="Arial" w:cs="Arial"/>
                <w:b w:val="0"/>
                <w:sz w:val="18"/>
              </w:rPr>
              <w:t>FINAL EXAM / EXAM 3 — 7:45 AM, Computer Center 402</w:t>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c>
          <w:tcPr>
            <w:tcW w:type="dxa" w:w="2520"/>
            <w:vAlign w:val="center"/>
          </w:tcPr>
          <w:p>
            <w:pPr>
              <w:spacing w:after="0"/>
            </w:pPr>
            <w:r>
              <w:rPr>
                <w:rFonts w:ascii="Arial" w:hAnsi="Arial" w:eastAsia="Arial" w:cs="Arial"/>
                <w:b w:val="0"/>
                <w:sz w:val="18"/>
              </w:rPr>
            </w:r>
            <w:r>
              <w:rPr>
                <w:rFonts w:ascii="Arial" w:hAnsi="Arial" w:eastAsia="Arial" w:cs="Arial"/>
                <w:b w:val="0"/>
                <w:sz w:val="18"/>
              </w:rPr>
            </w:r>
          </w:p>
        </w:tc>
      </w:tr>
    </w:tbl>
    <w:p>
      <w:r>
        <w:rPr>
          <w:b/>
        </w:rPr>
        <w:t xml:space="preserve">Drop dates: </w:t>
      </w:r>
      <w:r>
        <w:t>Last day to drop with refund: September 24, 2026. Last day to drop with no grade reported: October 19, 2026.</w:t>
      </w:r>
    </w:p>
    <w:p>
      <w:pPr>
        <w:pStyle w:val="Heading1"/>
      </w:pPr>
      <w:r>
        <w:t>Academic honesty, plagiarism, legal considerations, etc.</w:t>
      </w:r>
    </w:p>
    <w:p>
      <w:r>
        <w:rPr>
          <w:b/>
        </w:rPr>
        <w:t xml:space="preserve">Distributing lectures: </w:t>
      </w:r>
      <w:r>
        <w:t>Students are expected to respect the intellectual property of course instructors. All course materials presented to students are the copyrighted property of the course instructor and are subject to the following conditions of use:</w:t>
      </w:r>
    </w:p>
    <w:p>
      <w:pPr>
        <w:pStyle w:val="ListNumber"/>
      </w:pPr>
      <w:r>
        <w:t>Students may not post recordings or other course materials online or distribute them to anyone not enrolled in the class without the advance written permission of the course instructor and, if applicable, any students whose voice or image is included.</w:t>
      </w:r>
    </w:p>
    <w:p>
      <w:pPr>
        <w:pStyle w:val="ListNumber"/>
      </w:pPr>
      <w:r>
        <w:t>Any student violating these conditions may face academic disciplinary sanctions.</w:t>
      </w:r>
    </w:p>
    <w:p>
      <w:r>
        <w:rPr>
          <w:b/>
        </w:rPr>
        <w:t xml:space="preserve">Plagiarism and generative AI: </w:t>
      </w:r>
      <w:r>
        <w:t>Unless an assignment explicitly states otherwise, the work you submit must be your own. Copying answers from another student, website, generative-AI system, or other source—whether verbatim or with only superficial changes—may be treated as plagiarism or unauthorized assistance.  Suspected violations may result in lost points and referral under MSU academic-integrity procedures. The course instructors may use tools, including Turnitin, to assist in reviewing submitted work; such tools do not themselves determine whether plagiarism has occurred.</w:t>
      </w:r>
    </w:p>
    <w:p>
      <w:r>
        <w:rPr>
          <w:b/>
        </w:rPr>
        <w:t xml:space="preserve">Academic honesty: </w:t>
      </w:r>
      <w:r>
        <w:t xml:space="preserve">You are expected to maintain the integrity of scholarship, grades, and professional standards and to follow Michigan State University's academic-integrity requirements. Unless authorized by your instructor, complete course assignments, quizzes, tests, and exams without assistance from unauthorized sources. Do not submit work completed for another course to satisfy requirements in this course. Students who violate MSU academic-integrity rules may receive a penalty grade, including a failing grade on the assignment or in the course. Contact the instructor if you are unsure whether a form of assistance is appropriate. See the </w:t>
      </w:r>
      <w:hyperlink r:id="rId12">
        <w:r>
          <w:rPr>
            <w:color w:val="0563C1"/>
            <w:u w:val="single"/>
          </w:rPr>
          <w:t>MSU Academic Integrity resources</w:t>
        </w:r>
      </w:hyperlink>
      <w:r>
        <w:t xml:space="preserve"> for additional information.</w:t>
      </w:r>
    </w:p>
    <w:p>
      <w:r>
        <w:rPr>
          <w:b/>
        </w:rPr>
        <w:t xml:space="preserve">Limits to confidentiality: </w:t>
      </w:r>
      <w:r>
        <w:t>Essays, journals, and other materials submitted for this class are generally considered confidential pursuant to the University's student-record policies. However, University employees, including instructors, may not be able to maintain confidentiality when it conflicts with responsibilities to report certain issues to protect the health and safety of MSU community members and others. As instructor, I must report certain information to appropriate University offices, including:</w:t>
      </w:r>
    </w:p>
    <w:p>
      <w:pPr>
        <w:pStyle w:val="ListBullet"/>
      </w:pPr>
      <w:r>
        <w:t>Suspected child abuse or neglect, even if the maltreatment happened when you were a child;</w:t>
      </w:r>
    </w:p>
    <w:p>
      <w:pPr>
        <w:pStyle w:val="ListBullet"/>
      </w:pPr>
      <w:r>
        <w:t>Allegations of sexual assault or sexual harassment when they involve MSU students, faculty, or staff; and</w:t>
      </w:r>
    </w:p>
    <w:p>
      <w:pPr>
        <w:pStyle w:val="ListBullet"/>
      </w:pPr>
      <w:r>
        <w:t>Credible threats of harm to oneself or to others.</w:t>
      </w:r>
    </w:p>
    <w:p>
      <w:r>
        <w:t xml:space="preserve">These reports may trigger contact from a campus official. In almost all cases, it will be your decision whether you wish to speak with that individual. If you would like to discuss these events in a more confidential setting, you are encouraged to contact </w:t>
      </w:r>
      <w:hyperlink r:id="rId13">
        <w:r>
          <w:rPr>
            <w:color w:val="0563C1"/>
            <w:u w:val="single"/>
          </w:rPr>
          <w:t>MSU Counseling &amp; Psychiatric Services (CAPS)</w:t>
        </w:r>
      </w:hyperlink>
      <w:r>
        <w:t>.</w:t>
      </w:r>
    </w:p>
    <w:p>
      <w:pPr>
        <w:pStyle w:val="Heading2"/>
      </w:pPr>
      <w:r>
        <w:t>University calendar and accessibility references</w:t>
      </w:r>
    </w:p>
    <w:p>
      <w:r>
        <w:t xml:space="preserve">Fall 2026 dates in this syllabus follow the </w:t>
      </w:r>
      <w:hyperlink r:id="rId14">
        <w:r>
          <w:rPr>
            <w:color w:val="0563C1"/>
            <w:u w:val="single"/>
          </w:rPr>
          <w:t>MSU Academic Calendar</w:t>
        </w:r>
      </w:hyperlink>
      <w:r>
        <w:t xml:space="preserve">. This document was structured to follow the </w:t>
      </w:r>
      <w:hyperlink r:id="rId15">
        <w:r>
          <w:rPr>
            <w:color w:val="0563C1"/>
            <w:u w:val="single"/>
          </w:rPr>
          <w:t>MSU Microsoft Word accessibility guidance</w:t>
        </w:r>
      </w:hyperlink>
      <w:r>
        <w:t>, including hierarchical headings, descriptive links, true list styles, simple tables with designated header rows, and high-contrast text.</w:t>
      </w:r>
    </w:p>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Michigan State University | Fall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Pr>
    <w:r>
      <w:rPr>
        <w:sz w:val="16"/>
      </w:rPr>
      <w:t>PSY 200-001 Cognitive Psychology — Fall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200"/>
      <w:contextualSpacing/>
    </w:pPr>
    <w:rPr>
      <w:rFonts w:asciiTheme="majorHAnsi" w:eastAsiaTheme="majorEastAsia" w:hAnsiTheme="majorHAnsi" w:cstheme="majorBidi" w:ascii="Arial" w:hAnsi="Arial"/>
      <w:b/>
      <w:color w:val="000000"/>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rcpd.msu.edu/" TargetMode="External"/><Relationship Id="rId12" Type="http://schemas.openxmlformats.org/officeDocument/2006/relationships/hyperlink" Target="https://ombud.msu.edu/academic-integrity/index.html" TargetMode="External"/><Relationship Id="rId13" Type="http://schemas.openxmlformats.org/officeDocument/2006/relationships/hyperlink" Target="https://caps.msu.edu/" TargetMode="External"/><Relationship Id="rId14" Type="http://schemas.openxmlformats.org/officeDocument/2006/relationships/hyperlink" Target="https://reg.msu.edu/ROInfo/Calendar/academic.aspx" TargetMode="External"/><Relationship Id="rId15" Type="http://schemas.openxmlformats.org/officeDocument/2006/relationships/hyperlink" Target="https://webaccess.msu.edu/tutorials/documents/w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 200-001 Cognitive Psychology — Fall 2026 Syllabus</dc:title>
  <dc:subject>Fall 2026 course syllabus</dc:subject>
  <dc:creator>Jan Brascamp</dc:creator>
  <cp:keywords/>
  <dc:description>generated by python-docx</dc:description>
  <cp:lastModifiedBy/>
  <cp:revision>1</cp:revision>
  <dcterms:created xsi:type="dcterms:W3CDTF">2013-12-23T23:15:00Z</dcterms:created>
  <dcterms:modified xsi:type="dcterms:W3CDTF">2013-12-23T23:15:00Z</dcterms:modified>
  <cp:category/>
  <dc:language>en-US</dc:language>
</cp:coreProperties>
</file>