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8FEA" w14:textId="77777777" w:rsidR="00837F31" w:rsidRDefault="008923DF" w:rsidP="005929A2">
      <w:pPr>
        <w:pStyle w:val="Title"/>
      </w:pPr>
      <w:r>
        <w:t xml:space="preserve">Planning for Superloads: </w:t>
      </w:r>
    </w:p>
    <w:p w14:paraId="0A0435A1" w14:textId="786BC38B" w:rsidR="00404498" w:rsidRPr="005929A2" w:rsidRDefault="00616299" w:rsidP="005929A2">
      <w:pPr>
        <w:pStyle w:val="Title"/>
      </w:pPr>
      <w:r>
        <w:t>Department</w:t>
      </w:r>
      <w:r w:rsidR="00B47E2E">
        <w:t xml:space="preserve"> </w:t>
      </w:r>
      <w:r>
        <w:t xml:space="preserve">of Transport </w:t>
      </w:r>
    </w:p>
    <w:p w14:paraId="7DBA989F" w14:textId="029AC69A" w:rsidR="00F316F8" w:rsidRDefault="00D60555" w:rsidP="000D5F1A">
      <w:pPr>
        <w:pStyle w:val="Subtitle"/>
      </w:pPr>
      <w:r w:rsidRPr="000D5F1A">
        <w:t>S</w:t>
      </w:r>
      <w:r w:rsidR="008923DF">
        <w:t xml:space="preserve">uperload Checklist </w:t>
      </w:r>
    </w:p>
    <w:p w14:paraId="06C1BB0B" w14:textId="335781D5" w:rsidR="00714E9E" w:rsidRPr="00714E9E" w:rsidRDefault="00714E9E" w:rsidP="00714E9E">
      <w:r>
        <w:t xml:space="preserve">Updated: </w:t>
      </w:r>
      <w:r w:rsidR="00291860">
        <w:t>31</w:t>
      </w:r>
      <w:r>
        <w:t>/01/2020</w:t>
      </w:r>
    </w:p>
    <w:p w14:paraId="08150DDC" w14:textId="77777777" w:rsidR="00384A08" w:rsidRDefault="00384A08" w:rsidP="004E6414">
      <w:pPr>
        <w:sectPr w:rsidR="00384A08" w:rsidSect="006E04AB"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3023" w:right="1440" w:bottom="1440" w:left="1440" w:header="454" w:footer="708" w:gutter="0"/>
          <w:cols w:space="708"/>
          <w:titlePg/>
          <w:docGrid w:linePitch="360"/>
        </w:sectPr>
      </w:pPr>
      <w:r>
        <w:br w:type="page"/>
      </w:r>
    </w:p>
    <w:p w14:paraId="1C87EAD9" w14:textId="300D81CF" w:rsidR="00384A08" w:rsidRPr="00FA50FE" w:rsidRDefault="00384A08" w:rsidP="00FA50FE">
      <w:pPr>
        <w:pStyle w:val="TOCHeading"/>
      </w:pPr>
      <w:r w:rsidRPr="00FA50FE">
        <w:lastRenderedPageBreak/>
        <w:t>Contents</w:t>
      </w:r>
    </w:p>
    <w:p w14:paraId="2AAE85CA" w14:textId="3B767588" w:rsidR="00593711" w:rsidRDefault="00F000FE">
      <w:pPr>
        <w:pStyle w:val="TOC2"/>
        <w:rPr>
          <w:rFonts w:eastAsiaTheme="minorEastAsia" w:cstheme="minorBidi"/>
          <w:bCs w:val="0"/>
          <w:color w:val="auto"/>
          <w:sz w:val="22"/>
          <w:szCs w:val="22"/>
          <w:lang w:eastAsia="en-AU"/>
        </w:rPr>
      </w:pPr>
      <w:r>
        <w:rPr>
          <w:b/>
          <w:bCs w:val="0"/>
        </w:rPr>
        <w:fldChar w:fldCharType="begin"/>
      </w:r>
      <w:r>
        <w:instrText xml:space="preserve"> TOC \o "1-3" \h \z \u \t "Heading 1,1" </w:instrText>
      </w:r>
      <w:r>
        <w:rPr>
          <w:b/>
          <w:bCs w:val="0"/>
        </w:rPr>
        <w:fldChar w:fldCharType="separate"/>
      </w:r>
      <w:hyperlink w:anchor="_Toc31200173" w:history="1">
        <w:r w:rsidR="00593711" w:rsidRPr="00E97487">
          <w:rPr>
            <w:rStyle w:val="Hyperlink"/>
          </w:rPr>
          <w:t>What makes a Superload?</w:t>
        </w:r>
        <w:r w:rsidR="00593711">
          <w:rPr>
            <w:webHidden/>
          </w:rPr>
          <w:tab/>
        </w:r>
        <w:r w:rsidR="00593711">
          <w:rPr>
            <w:webHidden/>
          </w:rPr>
          <w:fldChar w:fldCharType="begin"/>
        </w:r>
        <w:r w:rsidR="00593711">
          <w:rPr>
            <w:webHidden/>
          </w:rPr>
          <w:instrText xml:space="preserve"> PAGEREF _Toc31200173 \h </w:instrText>
        </w:r>
        <w:r w:rsidR="00593711">
          <w:rPr>
            <w:webHidden/>
          </w:rPr>
        </w:r>
        <w:r w:rsidR="00593711">
          <w:rPr>
            <w:webHidden/>
          </w:rPr>
          <w:fldChar w:fldCharType="separate"/>
        </w:r>
        <w:r w:rsidR="00593711">
          <w:rPr>
            <w:webHidden/>
          </w:rPr>
          <w:t>3</w:t>
        </w:r>
        <w:r w:rsidR="00593711">
          <w:rPr>
            <w:webHidden/>
          </w:rPr>
          <w:fldChar w:fldCharType="end"/>
        </w:r>
      </w:hyperlink>
    </w:p>
    <w:p w14:paraId="044F510E" w14:textId="157FD901" w:rsidR="00593711" w:rsidRDefault="00AC6272">
      <w:pPr>
        <w:pStyle w:val="TOC2"/>
        <w:rPr>
          <w:rFonts w:eastAsiaTheme="minorEastAsia" w:cstheme="minorBidi"/>
          <w:bCs w:val="0"/>
          <w:color w:val="auto"/>
          <w:sz w:val="22"/>
          <w:szCs w:val="22"/>
          <w:lang w:eastAsia="en-AU"/>
        </w:rPr>
      </w:pPr>
      <w:hyperlink w:anchor="_Toc31200174" w:history="1">
        <w:r w:rsidR="00593711" w:rsidRPr="00E97487">
          <w:rPr>
            <w:rStyle w:val="Hyperlink"/>
          </w:rPr>
          <w:t>Superload project owner requirements:</w:t>
        </w:r>
        <w:r w:rsidR="00593711">
          <w:rPr>
            <w:webHidden/>
          </w:rPr>
          <w:tab/>
        </w:r>
        <w:r w:rsidR="00593711">
          <w:rPr>
            <w:webHidden/>
          </w:rPr>
          <w:fldChar w:fldCharType="begin"/>
        </w:r>
        <w:r w:rsidR="00593711">
          <w:rPr>
            <w:webHidden/>
          </w:rPr>
          <w:instrText xml:space="preserve"> PAGEREF _Toc31200174 \h </w:instrText>
        </w:r>
        <w:r w:rsidR="00593711">
          <w:rPr>
            <w:webHidden/>
          </w:rPr>
        </w:r>
        <w:r w:rsidR="00593711">
          <w:rPr>
            <w:webHidden/>
          </w:rPr>
          <w:fldChar w:fldCharType="separate"/>
        </w:r>
        <w:r w:rsidR="00593711">
          <w:rPr>
            <w:webHidden/>
          </w:rPr>
          <w:t>3</w:t>
        </w:r>
        <w:r w:rsidR="00593711">
          <w:rPr>
            <w:webHidden/>
          </w:rPr>
          <w:fldChar w:fldCharType="end"/>
        </w:r>
      </w:hyperlink>
    </w:p>
    <w:p w14:paraId="71E5422D" w14:textId="38EBE7F2" w:rsidR="00593711" w:rsidRDefault="00AC6272">
      <w:pPr>
        <w:pStyle w:val="TOC2"/>
        <w:rPr>
          <w:rFonts w:eastAsiaTheme="minorEastAsia" w:cstheme="minorBidi"/>
          <w:bCs w:val="0"/>
          <w:color w:val="auto"/>
          <w:sz w:val="22"/>
          <w:szCs w:val="22"/>
          <w:lang w:eastAsia="en-AU"/>
        </w:rPr>
      </w:pPr>
      <w:hyperlink w:anchor="_Toc31200175" w:history="1">
        <w:r w:rsidR="00593711" w:rsidRPr="00E97487">
          <w:rPr>
            <w:rStyle w:val="Hyperlink"/>
          </w:rPr>
          <w:t>Superload transport operator requirements:</w:t>
        </w:r>
        <w:r w:rsidR="00593711">
          <w:rPr>
            <w:webHidden/>
          </w:rPr>
          <w:tab/>
        </w:r>
        <w:r w:rsidR="00593711">
          <w:rPr>
            <w:webHidden/>
          </w:rPr>
          <w:fldChar w:fldCharType="begin"/>
        </w:r>
        <w:r w:rsidR="00593711">
          <w:rPr>
            <w:webHidden/>
          </w:rPr>
          <w:instrText xml:space="preserve"> PAGEREF _Toc31200175 \h </w:instrText>
        </w:r>
        <w:r w:rsidR="00593711">
          <w:rPr>
            <w:webHidden/>
          </w:rPr>
        </w:r>
        <w:r w:rsidR="00593711">
          <w:rPr>
            <w:webHidden/>
          </w:rPr>
          <w:fldChar w:fldCharType="separate"/>
        </w:r>
        <w:r w:rsidR="00593711">
          <w:rPr>
            <w:webHidden/>
          </w:rPr>
          <w:t>4</w:t>
        </w:r>
        <w:r w:rsidR="00593711">
          <w:rPr>
            <w:webHidden/>
          </w:rPr>
          <w:fldChar w:fldCharType="end"/>
        </w:r>
      </w:hyperlink>
    </w:p>
    <w:p w14:paraId="0328AC1E" w14:textId="771A3B04" w:rsidR="00593711" w:rsidRDefault="00AC6272">
      <w:pPr>
        <w:pStyle w:val="TOC2"/>
        <w:rPr>
          <w:rFonts w:eastAsiaTheme="minorEastAsia" w:cstheme="minorBidi"/>
          <w:bCs w:val="0"/>
          <w:color w:val="auto"/>
          <w:sz w:val="22"/>
          <w:szCs w:val="22"/>
          <w:lang w:eastAsia="en-AU"/>
        </w:rPr>
      </w:pPr>
      <w:hyperlink w:anchor="_Toc31200176" w:history="1">
        <w:r w:rsidR="00593711" w:rsidRPr="00E97487">
          <w:rPr>
            <w:rStyle w:val="Hyperlink"/>
          </w:rPr>
          <w:t>Department of Transport requirements:</w:t>
        </w:r>
        <w:r w:rsidR="00593711">
          <w:rPr>
            <w:webHidden/>
          </w:rPr>
          <w:tab/>
        </w:r>
        <w:r w:rsidR="00593711">
          <w:rPr>
            <w:webHidden/>
          </w:rPr>
          <w:fldChar w:fldCharType="begin"/>
        </w:r>
        <w:r w:rsidR="00593711">
          <w:rPr>
            <w:webHidden/>
          </w:rPr>
          <w:instrText xml:space="preserve"> PAGEREF _Toc31200176 \h </w:instrText>
        </w:r>
        <w:r w:rsidR="00593711">
          <w:rPr>
            <w:webHidden/>
          </w:rPr>
        </w:r>
        <w:r w:rsidR="00593711">
          <w:rPr>
            <w:webHidden/>
          </w:rPr>
          <w:fldChar w:fldCharType="separate"/>
        </w:r>
        <w:r w:rsidR="00593711">
          <w:rPr>
            <w:webHidden/>
          </w:rPr>
          <w:t>5</w:t>
        </w:r>
        <w:r w:rsidR="00593711">
          <w:rPr>
            <w:webHidden/>
          </w:rPr>
          <w:fldChar w:fldCharType="end"/>
        </w:r>
      </w:hyperlink>
    </w:p>
    <w:p w14:paraId="4A5FA070" w14:textId="390A7FE8" w:rsidR="00593711" w:rsidRDefault="00AC6272">
      <w:pPr>
        <w:pStyle w:val="TOC2"/>
        <w:rPr>
          <w:rFonts w:eastAsiaTheme="minorEastAsia" w:cstheme="minorBidi"/>
          <w:bCs w:val="0"/>
          <w:color w:val="auto"/>
          <w:sz w:val="22"/>
          <w:szCs w:val="22"/>
          <w:lang w:eastAsia="en-AU"/>
        </w:rPr>
      </w:pPr>
      <w:hyperlink w:anchor="_Toc31200177" w:history="1">
        <w:r w:rsidR="00593711" w:rsidRPr="00E97487">
          <w:rPr>
            <w:rStyle w:val="Hyperlink"/>
          </w:rPr>
          <w:t>National Heavy Vehicle Regulator requirements:</w:t>
        </w:r>
        <w:r w:rsidR="00593711">
          <w:rPr>
            <w:webHidden/>
          </w:rPr>
          <w:tab/>
        </w:r>
        <w:r w:rsidR="00593711">
          <w:rPr>
            <w:webHidden/>
          </w:rPr>
          <w:fldChar w:fldCharType="begin"/>
        </w:r>
        <w:r w:rsidR="00593711">
          <w:rPr>
            <w:webHidden/>
          </w:rPr>
          <w:instrText xml:space="preserve"> PAGEREF _Toc31200177 \h </w:instrText>
        </w:r>
        <w:r w:rsidR="00593711">
          <w:rPr>
            <w:webHidden/>
          </w:rPr>
        </w:r>
        <w:r w:rsidR="00593711">
          <w:rPr>
            <w:webHidden/>
          </w:rPr>
          <w:fldChar w:fldCharType="separate"/>
        </w:r>
        <w:r w:rsidR="00593711">
          <w:rPr>
            <w:webHidden/>
          </w:rPr>
          <w:t>6</w:t>
        </w:r>
        <w:r w:rsidR="00593711">
          <w:rPr>
            <w:webHidden/>
          </w:rPr>
          <w:fldChar w:fldCharType="end"/>
        </w:r>
      </w:hyperlink>
    </w:p>
    <w:p w14:paraId="1A6074C5" w14:textId="77777777" w:rsidR="000173B9" w:rsidRDefault="00F000FE" w:rsidP="000173B9">
      <w:pPr>
        <w:rPr>
          <w:rFonts w:asciiTheme="majorHAnsi" w:hAnsiTheme="majorHAnsi" w:cs="Arial (Headings)"/>
          <w:bCs/>
          <w:noProof/>
          <w:szCs w:val="20"/>
        </w:rPr>
      </w:pPr>
      <w:r>
        <w:rPr>
          <w:rFonts w:asciiTheme="majorHAnsi" w:hAnsiTheme="majorHAnsi" w:cs="Arial (Headings)"/>
          <w:bCs/>
          <w:noProof/>
          <w:szCs w:val="20"/>
        </w:rPr>
        <w:fldChar w:fldCharType="end"/>
      </w:r>
    </w:p>
    <w:p w14:paraId="39DD6B42" w14:textId="77777777" w:rsidR="000173B9" w:rsidRDefault="000173B9">
      <w:pPr>
        <w:spacing w:before="0" w:after="0"/>
        <w:rPr>
          <w:rFonts w:asciiTheme="majorHAnsi" w:hAnsiTheme="majorHAnsi" w:cs="Arial (Headings)"/>
          <w:bCs/>
          <w:noProof/>
          <w:szCs w:val="20"/>
        </w:rPr>
      </w:pPr>
      <w:r>
        <w:rPr>
          <w:rFonts w:asciiTheme="majorHAnsi" w:hAnsiTheme="majorHAnsi" w:cs="Arial (Headings)"/>
          <w:bCs/>
          <w:noProof/>
          <w:szCs w:val="20"/>
        </w:rPr>
        <w:br w:type="page"/>
      </w:r>
    </w:p>
    <w:p w14:paraId="125133E7" w14:textId="016C7BFE" w:rsidR="00AC668B" w:rsidRPr="000173B9" w:rsidRDefault="008923DF" w:rsidP="000173B9">
      <w:pPr>
        <w:rPr>
          <w:rFonts w:asciiTheme="majorHAnsi" w:eastAsiaTheme="majorEastAsia" w:hAnsiTheme="majorHAnsi" w:cstheme="majorBidi"/>
          <w:color w:val="16A3A7"/>
          <w:sz w:val="40"/>
          <w:szCs w:val="32"/>
        </w:rPr>
      </w:pPr>
      <w:r w:rsidRPr="000173B9">
        <w:rPr>
          <w:rFonts w:asciiTheme="majorHAnsi" w:eastAsiaTheme="majorEastAsia" w:hAnsiTheme="majorHAnsi" w:cstheme="majorBidi"/>
          <w:color w:val="16A3A7"/>
          <w:sz w:val="40"/>
          <w:szCs w:val="32"/>
        </w:rPr>
        <w:lastRenderedPageBreak/>
        <w:t>Checklist</w:t>
      </w:r>
    </w:p>
    <w:p w14:paraId="0E17C1C9" w14:textId="1979BACE" w:rsidR="008F6B7D" w:rsidRPr="007F1902" w:rsidRDefault="00A749DC" w:rsidP="00A749DC">
      <w:pPr>
        <w:pStyle w:val="Introductioncopy"/>
      </w:pPr>
      <w:r w:rsidRPr="00A749DC">
        <w:t xml:space="preserve">This </w:t>
      </w:r>
      <w:r w:rsidR="00752170">
        <w:t>c</w:t>
      </w:r>
      <w:r w:rsidRPr="00A749DC">
        <w:t xml:space="preserve">hecklist has been prepared to inform </w:t>
      </w:r>
      <w:r w:rsidR="00752170">
        <w:t>i</w:t>
      </w:r>
      <w:r w:rsidRPr="00A749DC">
        <w:t>ndustry of their responsibilities and requirements to enable a Superload to move on</w:t>
      </w:r>
      <w:r w:rsidR="00845BC2">
        <w:t xml:space="preserve"> Victoria’s road </w:t>
      </w:r>
      <w:r w:rsidRPr="00A749DC">
        <w:t>network.</w:t>
      </w:r>
      <w:r w:rsidR="008F6B7D" w:rsidRPr="007F1902">
        <w:t xml:space="preserve"> </w:t>
      </w:r>
    </w:p>
    <w:p w14:paraId="4071F4E4" w14:textId="27154F32" w:rsidR="008F6B7D" w:rsidRPr="004E6414" w:rsidRDefault="00A749DC" w:rsidP="004E6414">
      <w:pPr>
        <w:pStyle w:val="Heading2"/>
      </w:pPr>
      <w:bookmarkStart w:id="0" w:name="_Toc31200173"/>
      <w:r>
        <w:t>What makes a Superload?</w:t>
      </w:r>
      <w:bookmarkEnd w:id="0"/>
      <w:r>
        <w:t xml:space="preserve"> </w:t>
      </w:r>
    </w:p>
    <w:p w14:paraId="5F179726" w14:textId="7145872B" w:rsidR="006D49CF" w:rsidRDefault="00845BC2" w:rsidP="004E6414">
      <w:r>
        <w:t xml:space="preserve">The </w:t>
      </w:r>
      <w:r w:rsidR="00A749DC">
        <w:t>Department of Transport</w:t>
      </w:r>
      <w:r w:rsidR="00616299">
        <w:t xml:space="preserve"> (</w:t>
      </w:r>
      <w:r w:rsidR="001A057E">
        <w:t>DoT</w:t>
      </w:r>
      <w:r w:rsidR="00616299">
        <w:t>)</w:t>
      </w:r>
      <w:r w:rsidR="006D49CF">
        <w:t xml:space="preserve"> considers loads </w:t>
      </w:r>
      <w:r>
        <w:t>to be</w:t>
      </w:r>
      <w:r w:rsidR="006D49CF">
        <w:t xml:space="preserve"> Superloads whenever one or more of the following applies: </w:t>
      </w:r>
    </w:p>
    <w:p w14:paraId="0C8BAC45" w14:textId="4ED6286F" w:rsidR="006D49CF" w:rsidRPr="00226509" w:rsidRDefault="006D49CF" w:rsidP="006D49CF">
      <w:pPr>
        <w:pStyle w:val="ListBullet"/>
        <w:numPr>
          <w:ilvl w:val="0"/>
          <w:numId w:val="12"/>
        </w:numPr>
      </w:pPr>
      <w:r w:rsidRPr="00226509">
        <w:t>A vehicle and load with a gross vehicle mass of 250 tonnes or greater</w:t>
      </w:r>
      <w:r w:rsidR="00845BC2">
        <w:t>.</w:t>
      </w:r>
    </w:p>
    <w:p w14:paraId="655C8E55" w14:textId="55F16E0C" w:rsidR="006D49CF" w:rsidRPr="00226509" w:rsidRDefault="006D49CF" w:rsidP="006D49CF">
      <w:pPr>
        <w:pStyle w:val="ListBullet"/>
        <w:numPr>
          <w:ilvl w:val="0"/>
          <w:numId w:val="12"/>
        </w:numPr>
      </w:pPr>
      <w:r w:rsidRPr="00226509">
        <w:t>A vehicle with a platform axle load of 15 tonnes or more per axle, with 6 or more axles</w:t>
      </w:r>
      <w:r w:rsidR="00845BC2">
        <w:t>.</w:t>
      </w:r>
    </w:p>
    <w:p w14:paraId="2ACD46B8" w14:textId="29631005" w:rsidR="006D49CF" w:rsidRPr="00064CB4" w:rsidRDefault="006D49CF" w:rsidP="006D49CF">
      <w:pPr>
        <w:pStyle w:val="ListBullet"/>
        <w:numPr>
          <w:ilvl w:val="0"/>
          <w:numId w:val="12"/>
        </w:numPr>
        <w:rPr>
          <w:color w:val="FF0000"/>
        </w:rPr>
      </w:pPr>
      <w:r w:rsidRPr="00226509">
        <w:t>Any high-frequency movement of vehicles with gross vehicle mass of 170 tonnes or greater that cannot be considered as “business as usual” use of the road network</w:t>
      </w:r>
      <w:r w:rsidRPr="002F6439">
        <w:t xml:space="preserve">. These high-frequency and repetitive movements often account for many hundreds of over-dimensional and over-mass loads to and from project sites and have a high impact on the road and bridge network, </w:t>
      </w:r>
      <w:r w:rsidR="001A057E">
        <w:t>DoT</w:t>
      </w:r>
      <w:r>
        <w:t xml:space="preserve"> </w:t>
      </w:r>
      <w:r w:rsidRPr="002F6439">
        <w:t xml:space="preserve">is required to monitor, manage and keep safe. </w:t>
      </w:r>
      <w:bookmarkStart w:id="1" w:name="_GoBack"/>
      <w:bookmarkEnd w:id="1"/>
    </w:p>
    <w:p w14:paraId="24B9F228" w14:textId="77777777" w:rsidR="006D49CF" w:rsidRPr="008F6B7D" w:rsidRDefault="006D49CF" w:rsidP="006D49CF">
      <w:pPr>
        <w:pStyle w:val="ListBullet"/>
        <w:numPr>
          <w:ilvl w:val="0"/>
          <w:numId w:val="0"/>
        </w:numPr>
        <w:ind w:left="357"/>
      </w:pPr>
    </w:p>
    <w:p w14:paraId="7DDB6034" w14:textId="4745221C" w:rsidR="00F316F8" w:rsidRDefault="006D49CF" w:rsidP="004E6414">
      <w:r>
        <w:t>Whil</w:t>
      </w:r>
      <w:r w:rsidRPr="00BF440F">
        <w:t>e</w:t>
      </w:r>
      <w:r>
        <w:t xml:space="preserve"> </w:t>
      </w:r>
      <w:hyperlink r:id="rId15" w:history="1">
        <w:r w:rsidRPr="006D49CF">
          <w:rPr>
            <w:rStyle w:val="Hyperlink"/>
          </w:rPr>
          <w:t>Heavy Vehicle Access Permits</w:t>
        </w:r>
      </w:hyperlink>
      <w:r w:rsidRPr="006D49CF">
        <w:t xml:space="preserve"> are coordinated and facilitated through the </w:t>
      </w:r>
      <w:r w:rsidRPr="006D49CF">
        <w:rPr>
          <w:b/>
        </w:rPr>
        <w:t>National Heavy Vehicle Regulator</w:t>
      </w:r>
      <w:r w:rsidRPr="006D49CF">
        <w:t xml:space="preserve"> (NHVR), there are considerable planning and route approval assessments that need to be undertaken to facilitate the movement of Superloads. </w:t>
      </w:r>
      <w:r w:rsidR="007A251E">
        <w:t>The</w:t>
      </w:r>
      <w:r w:rsidRPr="006D49CF">
        <w:t xml:space="preserve"> </w:t>
      </w:r>
      <w:r>
        <w:t xml:space="preserve">Department of Transport </w:t>
      </w:r>
      <w:r w:rsidRPr="006D49CF">
        <w:t>applies a full cost recovery approach to Superload movements, access and permit assessments</w:t>
      </w:r>
      <w:r w:rsidR="00A86468">
        <w:t>,</w:t>
      </w:r>
      <w:r w:rsidRPr="006D49CF">
        <w:t xml:space="preserve"> and approvals</w:t>
      </w:r>
      <w:r w:rsidR="00A86468">
        <w:t>.</w:t>
      </w:r>
      <w:r w:rsidRPr="006D49CF">
        <w:t xml:space="preserve"> </w:t>
      </w:r>
      <w:r w:rsidR="00A86468">
        <w:t>P</w:t>
      </w:r>
      <w:r w:rsidRPr="006D49CF">
        <w:t xml:space="preserve">ayment of an upfront pre-movement fee </w:t>
      </w:r>
      <w:r w:rsidR="00A86468">
        <w:t xml:space="preserve">is </w:t>
      </w:r>
      <w:proofErr w:type="gramStart"/>
      <w:r w:rsidR="00A86468">
        <w:t>required</w:t>
      </w:r>
      <w:proofErr w:type="gramEnd"/>
      <w:r w:rsidR="00A86468">
        <w:t xml:space="preserve"> and this will be</w:t>
      </w:r>
      <w:r w:rsidRPr="006D49CF">
        <w:t xml:space="preserve"> deducted from the final overall cost of the Superload fee. </w:t>
      </w:r>
    </w:p>
    <w:p w14:paraId="42CD55E0" w14:textId="4170CE3C" w:rsidR="009315A1" w:rsidRDefault="009315A1" w:rsidP="009315A1">
      <w:pPr>
        <w:pStyle w:val="Heading2"/>
      </w:pPr>
      <w:bookmarkStart w:id="2" w:name="_Toc31200174"/>
      <w:r>
        <w:t xml:space="preserve">Superload </w:t>
      </w:r>
      <w:r w:rsidR="00A86468">
        <w:t>p</w:t>
      </w:r>
      <w:r>
        <w:t xml:space="preserve">roject </w:t>
      </w:r>
      <w:r w:rsidR="00A86468">
        <w:t>o</w:t>
      </w:r>
      <w:r>
        <w:t xml:space="preserve">wner </w:t>
      </w:r>
      <w:r w:rsidR="00A86468">
        <w:t>r</w:t>
      </w:r>
      <w:r>
        <w:t>equirements:</w:t>
      </w:r>
      <w:bookmarkEnd w:id="2"/>
      <w:r>
        <w:t xml:space="preserve"> </w:t>
      </w:r>
    </w:p>
    <w:p w14:paraId="6AEEE5DC" w14:textId="2BE773A5" w:rsidR="009315A1" w:rsidRDefault="009315A1" w:rsidP="00F07E24">
      <w:pPr>
        <w:pStyle w:val="Smallorangetitle"/>
      </w:pPr>
      <w:r>
        <w:t>At least</w:t>
      </w:r>
      <w:r w:rsidR="004A47E3">
        <w:t xml:space="preserve"> 6 </w:t>
      </w:r>
      <w:r>
        <w:t xml:space="preserve">months prior to any Superload movement, the project owner shall: </w:t>
      </w:r>
    </w:p>
    <w:p w14:paraId="202F5984" w14:textId="1FA4AB9D" w:rsidR="009315A1" w:rsidRDefault="009315A1" w:rsidP="00A378FB">
      <w:pPr>
        <w:pStyle w:val="ListBullet"/>
        <w:numPr>
          <w:ilvl w:val="0"/>
          <w:numId w:val="22"/>
        </w:numPr>
      </w:pPr>
      <w:r w:rsidRPr="009315A1">
        <w:t xml:space="preserve">Contact and meet with </w:t>
      </w:r>
      <w:r w:rsidR="001A057E">
        <w:t>DoT</w:t>
      </w:r>
      <w:r w:rsidRPr="009315A1">
        <w:t xml:space="preserve"> to discuss the project.</w:t>
      </w:r>
    </w:p>
    <w:p w14:paraId="7FA0B1D9" w14:textId="0B587B62" w:rsidR="00486721" w:rsidRDefault="00486721" w:rsidP="00A378FB">
      <w:pPr>
        <w:pStyle w:val="ListBullet"/>
        <w:numPr>
          <w:ilvl w:val="1"/>
          <w:numId w:val="22"/>
        </w:numPr>
      </w:pPr>
      <w:r>
        <w:t xml:space="preserve">Key Department of Transport contacts are: </w:t>
      </w:r>
    </w:p>
    <w:p w14:paraId="708EC2B0" w14:textId="77427A3E" w:rsidR="00486721" w:rsidRPr="00355D4C" w:rsidRDefault="00486721" w:rsidP="00A378FB">
      <w:pPr>
        <w:pStyle w:val="ListBullet"/>
        <w:numPr>
          <w:ilvl w:val="2"/>
          <w:numId w:val="22"/>
        </w:numPr>
        <w:rPr>
          <w:color w:val="E37607" w:themeColor="hyperlink"/>
          <w:u w:val="single"/>
        </w:rPr>
      </w:pPr>
      <w:r>
        <w:t>Superloads Manager</w:t>
      </w:r>
      <w:r w:rsidR="00CC513E">
        <w:t xml:space="preserve"> or </w:t>
      </w:r>
      <w:r>
        <w:t>Manager Heavy Vehicle Consent</w:t>
      </w:r>
    </w:p>
    <w:p w14:paraId="4C58892B" w14:textId="5F382567" w:rsidR="00355D4C" w:rsidRDefault="00355D4C" w:rsidP="00A378FB">
      <w:pPr>
        <w:pStyle w:val="ListBullet"/>
        <w:numPr>
          <w:ilvl w:val="2"/>
          <w:numId w:val="22"/>
        </w:numPr>
        <w:rPr>
          <w:rStyle w:val="Hyperlink"/>
        </w:rPr>
      </w:pPr>
      <w:r>
        <w:t xml:space="preserve">Both contactable </w:t>
      </w:r>
      <w:r w:rsidR="00A70291">
        <w:t>on this</w:t>
      </w:r>
      <w:r w:rsidR="006C384C">
        <w:t xml:space="preserve"> </w:t>
      </w:r>
      <w:r>
        <w:t>email</w:t>
      </w:r>
      <w:r w:rsidR="00A70291">
        <w:t xml:space="preserve"> address</w:t>
      </w:r>
      <w:r w:rsidR="006C384C">
        <w:t xml:space="preserve">: </w:t>
      </w:r>
      <w:hyperlink r:id="rId16" w:history="1">
        <w:r w:rsidR="001E186F" w:rsidRPr="001E186F">
          <w:rPr>
            <w:rStyle w:val="Hyperlink"/>
            <w:color w:val="194D9D" w:themeColor="text2" w:themeTint="BF"/>
          </w:rPr>
          <w:t>hv.design@roads.vic.gov.au</w:t>
        </w:r>
      </w:hyperlink>
    </w:p>
    <w:p w14:paraId="3102AC6B" w14:textId="5C820DCE" w:rsidR="00486721" w:rsidRPr="00486721" w:rsidRDefault="00486721" w:rsidP="00A378FB">
      <w:pPr>
        <w:pStyle w:val="ListBullet"/>
        <w:numPr>
          <w:ilvl w:val="0"/>
          <w:numId w:val="22"/>
        </w:numPr>
        <w:rPr>
          <w:lang w:val="en"/>
        </w:rPr>
      </w:pPr>
      <w:r w:rsidRPr="00486721">
        <w:rPr>
          <w:lang w:val="en"/>
        </w:rPr>
        <w:t xml:space="preserve">Advise </w:t>
      </w:r>
      <w:r w:rsidR="001A057E">
        <w:rPr>
          <w:lang w:val="en"/>
        </w:rPr>
        <w:t>DoT</w:t>
      </w:r>
      <w:r w:rsidR="00616299">
        <w:rPr>
          <w:lang w:val="en"/>
        </w:rPr>
        <w:t xml:space="preserve"> </w:t>
      </w:r>
      <w:r w:rsidRPr="00486721">
        <w:rPr>
          <w:lang w:val="en"/>
        </w:rPr>
        <w:t>of planned movement date/s and identify journey start and end points.</w:t>
      </w:r>
    </w:p>
    <w:p w14:paraId="4E9D4ADB" w14:textId="339A68C3" w:rsidR="00486721" w:rsidRPr="00486721" w:rsidRDefault="00486721" w:rsidP="00A378FB">
      <w:pPr>
        <w:pStyle w:val="ListBullet"/>
        <w:numPr>
          <w:ilvl w:val="0"/>
          <w:numId w:val="22"/>
        </w:numPr>
        <w:rPr>
          <w:color w:val="auto"/>
          <w:lang w:val="en"/>
        </w:rPr>
      </w:pPr>
      <w:r w:rsidRPr="00486721">
        <w:rPr>
          <w:color w:val="auto"/>
          <w:lang w:val="en"/>
        </w:rPr>
        <w:t xml:space="preserve">Advise </w:t>
      </w:r>
      <w:r w:rsidR="001A057E">
        <w:rPr>
          <w:color w:val="auto"/>
          <w:lang w:val="en"/>
        </w:rPr>
        <w:t>DoT</w:t>
      </w:r>
      <w:r w:rsidR="001A057E" w:rsidRPr="00486721">
        <w:rPr>
          <w:color w:val="auto"/>
          <w:lang w:val="en"/>
        </w:rPr>
        <w:t xml:space="preserve"> of</w:t>
      </w:r>
      <w:r w:rsidRPr="00486721">
        <w:rPr>
          <w:color w:val="auto"/>
          <w:lang w:val="en"/>
        </w:rPr>
        <w:t xml:space="preserve"> all key stakeholders in the project including the appointed Transport Operator/s.</w:t>
      </w:r>
    </w:p>
    <w:p w14:paraId="034D8010" w14:textId="5D555A6E" w:rsidR="00486721" w:rsidRPr="00486721" w:rsidRDefault="00695EA8" w:rsidP="00A378FB">
      <w:pPr>
        <w:pStyle w:val="ListBullet"/>
        <w:numPr>
          <w:ilvl w:val="0"/>
          <w:numId w:val="22"/>
        </w:numPr>
        <w:rPr>
          <w:color w:val="auto"/>
          <w:lang w:val="en"/>
        </w:rPr>
      </w:pPr>
      <w:r>
        <w:rPr>
          <w:color w:val="auto"/>
          <w:lang w:val="en"/>
        </w:rPr>
        <w:t>D</w:t>
      </w:r>
      <w:r w:rsidR="00486721" w:rsidRPr="00486721">
        <w:rPr>
          <w:color w:val="auto"/>
          <w:lang w:val="en"/>
        </w:rPr>
        <w:t xml:space="preserve">evelop a high-level </w:t>
      </w:r>
      <w:r w:rsidR="00752170">
        <w:rPr>
          <w:color w:val="auto"/>
          <w:lang w:val="en"/>
        </w:rPr>
        <w:t>c</w:t>
      </w:r>
      <w:r w:rsidR="00486721" w:rsidRPr="00486721">
        <w:rPr>
          <w:color w:val="auto"/>
          <w:lang w:val="en"/>
        </w:rPr>
        <w:t xml:space="preserve">ommunications </w:t>
      </w:r>
      <w:r w:rsidR="00752170">
        <w:rPr>
          <w:color w:val="auto"/>
          <w:lang w:val="en"/>
        </w:rPr>
        <w:t>s</w:t>
      </w:r>
      <w:r w:rsidR="00486721" w:rsidRPr="00486721">
        <w:rPr>
          <w:color w:val="auto"/>
          <w:lang w:val="en"/>
        </w:rPr>
        <w:t xml:space="preserve">trategy in conjunction with </w:t>
      </w:r>
      <w:r w:rsidR="0037789F">
        <w:rPr>
          <w:color w:val="auto"/>
          <w:lang w:val="en"/>
        </w:rPr>
        <w:t>D</w:t>
      </w:r>
      <w:r w:rsidR="001A057E">
        <w:rPr>
          <w:color w:val="auto"/>
          <w:lang w:val="en"/>
        </w:rPr>
        <w:t>o</w:t>
      </w:r>
      <w:r w:rsidR="0037789F">
        <w:rPr>
          <w:color w:val="auto"/>
          <w:lang w:val="en"/>
        </w:rPr>
        <w:t>T</w:t>
      </w:r>
      <w:r w:rsidR="00486721" w:rsidRPr="00486721">
        <w:rPr>
          <w:color w:val="auto"/>
          <w:lang w:val="en"/>
        </w:rPr>
        <w:t>.</w:t>
      </w:r>
    </w:p>
    <w:p w14:paraId="4F36AABF" w14:textId="2DCE66A2" w:rsidR="00486721" w:rsidRPr="00486721" w:rsidRDefault="00486721" w:rsidP="00A378FB">
      <w:pPr>
        <w:pStyle w:val="ListBullet"/>
        <w:numPr>
          <w:ilvl w:val="0"/>
          <w:numId w:val="22"/>
        </w:numPr>
        <w:rPr>
          <w:color w:val="auto"/>
          <w:lang w:val="en"/>
        </w:rPr>
      </w:pPr>
      <w:r w:rsidRPr="00486721">
        <w:rPr>
          <w:color w:val="auto"/>
          <w:lang w:val="en"/>
        </w:rPr>
        <w:t xml:space="preserve">Upon receipt, pay applicable upfront pre-movement fee to </w:t>
      </w:r>
      <w:r w:rsidR="0037789F">
        <w:rPr>
          <w:color w:val="auto"/>
          <w:lang w:val="en"/>
        </w:rPr>
        <w:t>D</w:t>
      </w:r>
      <w:r w:rsidR="001A057E">
        <w:rPr>
          <w:color w:val="auto"/>
          <w:lang w:val="en"/>
        </w:rPr>
        <w:t>o</w:t>
      </w:r>
      <w:r w:rsidR="0037789F">
        <w:rPr>
          <w:color w:val="auto"/>
          <w:lang w:val="en"/>
        </w:rPr>
        <w:t>T</w:t>
      </w:r>
      <w:r w:rsidRPr="00486721">
        <w:rPr>
          <w:color w:val="auto"/>
          <w:lang w:val="en"/>
        </w:rPr>
        <w:t xml:space="preserve">. </w:t>
      </w:r>
    </w:p>
    <w:p w14:paraId="32480613" w14:textId="77777777" w:rsidR="00F07E24" w:rsidRDefault="00F07E24" w:rsidP="00F07E24">
      <w:pPr>
        <w:pStyle w:val="Smallorangetitle"/>
      </w:pPr>
    </w:p>
    <w:p w14:paraId="41C97FD9" w14:textId="03C9E854" w:rsidR="00F07E24" w:rsidRDefault="00F07E24" w:rsidP="00F07E24">
      <w:pPr>
        <w:pStyle w:val="Smallorangetitle"/>
      </w:pPr>
      <w:r>
        <w:t xml:space="preserve">At least </w:t>
      </w:r>
      <w:r w:rsidR="004A47E3">
        <w:t>3</w:t>
      </w:r>
      <w:r>
        <w:t xml:space="preserve"> months prior to any Superload movement, the project owner shall: </w:t>
      </w:r>
    </w:p>
    <w:p w14:paraId="34C3DA99" w14:textId="77777777" w:rsidR="00F07E24" w:rsidRPr="00F07E24" w:rsidRDefault="00F07E24" w:rsidP="00A378FB">
      <w:pPr>
        <w:pStyle w:val="ListBullet"/>
        <w:numPr>
          <w:ilvl w:val="0"/>
          <w:numId w:val="23"/>
        </w:numPr>
      </w:pPr>
      <w:r w:rsidRPr="00F07E24">
        <w:t>Confirm all planned movement dates.</w:t>
      </w:r>
    </w:p>
    <w:p w14:paraId="58A5E63D" w14:textId="00F55DDF" w:rsidR="00F07E24" w:rsidRDefault="00F07E24" w:rsidP="00A378FB">
      <w:pPr>
        <w:pStyle w:val="ListBullet"/>
        <w:numPr>
          <w:ilvl w:val="0"/>
          <w:numId w:val="23"/>
        </w:numPr>
      </w:pPr>
      <w:r w:rsidRPr="00F07E24">
        <w:t xml:space="preserve">Develop a </w:t>
      </w:r>
      <w:r w:rsidR="00752170">
        <w:t>c</w:t>
      </w:r>
      <w:r w:rsidRPr="00F07E24">
        <w:t xml:space="preserve">ommunication </w:t>
      </w:r>
      <w:r w:rsidR="00752170">
        <w:t>p</w:t>
      </w:r>
      <w:r w:rsidRPr="00F07E24">
        <w:t xml:space="preserve">lan in conjunction with </w:t>
      </w:r>
      <w:r w:rsidR="0037789F">
        <w:t>D</w:t>
      </w:r>
      <w:r w:rsidR="001A057E">
        <w:t>o</w:t>
      </w:r>
      <w:r w:rsidR="0037789F">
        <w:t>T</w:t>
      </w:r>
      <w:r w:rsidR="00A23228">
        <w:t xml:space="preserve"> </w:t>
      </w:r>
      <w:r w:rsidRPr="00F07E24">
        <w:t>and other key stakeholders.</w:t>
      </w:r>
    </w:p>
    <w:p w14:paraId="42584C74" w14:textId="5079E252" w:rsidR="00F07E24" w:rsidRDefault="00F07E24" w:rsidP="00F07E24">
      <w:pPr>
        <w:pStyle w:val="ListBullet"/>
        <w:numPr>
          <w:ilvl w:val="0"/>
          <w:numId w:val="0"/>
        </w:numPr>
        <w:ind w:left="360" w:hanging="360"/>
      </w:pPr>
    </w:p>
    <w:p w14:paraId="284EC790" w14:textId="00497C88" w:rsidR="00F07E24" w:rsidRDefault="00F07E24" w:rsidP="00F07E24">
      <w:pPr>
        <w:pStyle w:val="Smallorangetitle"/>
      </w:pPr>
      <w:r>
        <w:t xml:space="preserve">After completion of any Superload movement, the project owner shall: </w:t>
      </w:r>
    </w:p>
    <w:p w14:paraId="5658F27C" w14:textId="576E5C41" w:rsidR="00A94F42" w:rsidRPr="00A94F42" w:rsidRDefault="00A94F42" w:rsidP="00A378FB">
      <w:pPr>
        <w:pStyle w:val="ListBullet"/>
        <w:numPr>
          <w:ilvl w:val="0"/>
          <w:numId w:val="24"/>
        </w:numPr>
        <w:rPr>
          <w:lang w:val="en"/>
        </w:rPr>
      </w:pPr>
      <w:r w:rsidRPr="00A94F42">
        <w:rPr>
          <w:lang w:val="en"/>
        </w:rPr>
        <w:t xml:space="preserve">Upon receipt, pay applicable invoice from </w:t>
      </w:r>
      <w:r w:rsidR="0037789F">
        <w:rPr>
          <w:lang w:val="en"/>
        </w:rPr>
        <w:t>D</w:t>
      </w:r>
      <w:r w:rsidR="001A057E">
        <w:rPr>
          <w:lang w:val="en"/>
        </w:rPr>
        <w:t>o</w:t>
      </w:r>
      <w:r w:rsidR="0037789F">
        <w:rPr>
          <w:lang w:val="en"/>
        </w:rPr>
        <w:t>T</w:t>
      </w:r>
      <w:r w:rsidR="00616299">
        <w:rPr>
          <w:lang w:val="en"/>
        </w:rPr>
        <w:t xml:space="preserve"> </w:t>
      </w:r>
      <w:r w:rsidRPr="00A94F42">
        <w:rPr>
          <w:lang w:val="en"/>
        </w:rPr>
        <w:t xml:space="preserve">for repair of any damage caused to structures or other infrastructure assets impacted by the move.  </w:t>
      </w:r>
    </w:p>
    <w:p w14:paraId="3BB0AB06" w14:textId="6ACE511B" w:rsidR="00A94F42" w:rsidRDefault="00A94F42" w:rsidP="00A94F42">
      <w:pPr>
        <w:pStyle w:val="ListBullet"/>
        <w:numPr>
          <w:ilvl w:val="0"/>
          <w:numId w:val="0"/>
        </w:numPr>
        <w:ind w:left="360"/>
      </w:pPr>
    </w:p>
    <w:p w14:paraId="270F03DA" w14:textId="77777777" w:rsidR="004D465F" w:rsidRDefault="004D465F" w:rsidP="00A94F42">
      <w:pPr>
        <w:pStyle w:val="Heading2"/>
      </w:pPr>
    </w:p>
    <w:p w14:paraId="3550C53E" w14:textId="77777777" w:rsidR="004D465F" w:rsidRDefault="004D465F">
      <w:pPr>
        <w:spacing w:before="0" w:after="0"/>
        <w:rPr>
          <w:b/>
          <w:color w:val="595959" w:themeColor="text1" w:themeTint="A6"/>
          <w:sz w:val="28"/>
        </w:rPr>
      </w:pPr>
      <w:r>
        <w:br w:type="page"/>
      </w:r>
    </w:p>
    <w:p w14:paraId="131F2D4B" w14:textId="78A6C873" w:rsidR="00A94F42" w:rsidRDefault="00A94F42" w:rsidP="00A94F42">
      <w:pPr>
        <w:pStyle w:val="Heading2"/>
      </w:pPr>
      <w:bookmarkStart w:id="3" w:name="_Toc31200175"/>
      <w:r>
        <w:lastRenderedPageBreak/>
        <w:t xml:space="preserve">Superload </w:t>
      </w:r>
      <w:r w:rsidR="00A86468">
        <w:t>t</w:t>
      </w:r>
      <w:r>
        <w:t xml:space="preserve">ransport </w:t>
      </w:r>
      <w:r w:rsidR="00A86468">
        <w:t>o</w:t>
      </w:r>
      <w:r>
        <w:t xml:space="preserve">perator </w:t>
      </w:r>
      <w:r w:rsidR="00A86468">
        <w:t>r</w:t>
      </w:r>
      <w:r>
        <w:t>equirements:</w:t>
      </w:r>
      <w:bookmarkEnd w:id="3"/>
      <w:r>
        <w:t xml:space="preserve"> </w:t>
      </w:r>
    </w:p>
    <w:p w14:paraId="2E1951BE" w14:textId="56078EF2" w:rsidR="00A94F42" w:rsidRDefault="00A94F42" w:rsidP="00A94F42">
      <w:pPr>
        <w:pStyle w:val="Smallorangetitle"/>
      </w:pPr>
      <w:r>
        <w:t xml:space="preserve">At least </w:t>
      </w:r>
      <w:r w:rsidR="004A47E3">
        <w:t>6</w:t>
      </w:r>
      <w:r>
        <w:t xml:space="preserve"> months prior to any Superload movement, the transport operator shall: </w:t>
      </w:r>
    </w:p>
    <w:p w14:paraId="0870A2D3" w14:textId="53D39930" w:rsidR="00A94F42" w:rsidRDefault="00A94F42" w:rsidP="00A378FB">
      <w:pPr>
        <w:pStyle w:val="ListParagraph"/>
        <w:numPr>
          <w:ilvl w:val="0"/>
          <w:numId w:val="25"/>
        </w:numPr>
      </w:pPr>
      <w:r w:rsidRPr="00A94F42">
        <w:rPr>
          <w:color w:val="000000" w:themeColor="text1"/>
          <w:sz w:val="20"/>
          <w:szCs w:val="18"/>
          <w:lang w:val="en"/>
        </w:rPr>
        <w:t xml:space="preserve">Submit vehicle configuration details to </w:t>
      </w:r>
      <w:r w:rsidR="0037789F">
        <w:rPr>
          <w:color w:val="000000" w:themeColor="text1"/>
          <w:sz w:val="20"/>
          <w:szCs w:val="18"/>
          <w:lang w:val="en"/>
        </w:rPr>
        <w:t>D</w:t>
      </w:r>
      <w:r w:rsidR="001A057E">
        <w:rPr>
          <w:color w:val="000000" w:themeColor="text1"/>
          <w:sz w:val="20"/>
          <w:szCs w:val="18"/>
          <w:lang w:val="en"/>
        </w:rPr>
        <w:t>o</w:t>
      </w:r>
      <w:r w:rsidR="0037789F">
        <w:rPr>
          <w:color w:val="000000" w:themeColor="text1"/>
          <w:sz w:val="20"/>
          <w:szCs w:val="18"/>
          <w:lang w:val="en"/>
        </w:rPr>
        <w:t>T</w:t>
      </w:r>
      <w:r w:rsidRPr="00A94F42">
        <w:rPr>
          <w:color w:val="000000" w:themeColor="text1"/>
          <w:sz w:val="20"/>
          <w:szCs w:val="18"/>
          <w:lang w:val="en"/>
        </w:rPr>
        <w:t xml:space="preserve"> for impact assessment to assets</w:t>
      </w:r>
      <w:r w:rsidRPr="00A94F42">
        <w:t>.</w:t>
      </w:r>
    </w:p>
    <w:p w14:paraId="412088D9" w14:textId="5808454D" w:rsidR="00A94F42" w:rsidRDefault="00A94F42" w:rsidP="00A94F42">
      <w:pPr>
        <w:pStyle w:val="Smallorangetitle"/>
      </w:pPr>
      <w:r>
        <w:t xml:space="preserve">At least </w:t>
      </w:r>
      <w:r w:rsidR="004A47E3">
        <w:t>3</w:t>
      </w:r>
      <w:r>
        <w:t xml:space="preserve"> months prior to any Superload movement, the transport operator shall: </w:t>
      </w:r>
    </w:p>
    <w:p w14:paraId="54ECC409" w14:textId="3FB87ABE" w:rsidR="00A94F42" w:rsidRPr="00A94F42" w:rsidRDefault="00A94F42" w:rsidP="00A378FB">
      <w:pPr>
        <w:pStyle w:val="ListBullet"/>
        <w:numPr>
          <w:ilvl w:val="0"/>
          <w:numId w:val="26"/>
        </w:numPr>
      </w:pPr>
      <w:r w:rsidRPr="00A94F42">
        <w:t xml:space="preserve">Submit a </w:t>
      </w:r>
      <w:r>
        <w:t>d</w:t>
      </w:r>
      <w:r w:rsidRPr="00A94F42">
        <w:t xml:space="preserve">raft </w:t>
      </w:r>
      <w:r w:rsidR="00FD7CA9">
        <w:t>t</w:t>
      </w:r>
      <w:r w:rsidRPr="00A94F42">
        <w:t xml:space="preserve">ransport </w:t>
      </w:r>
      <w:r w:rsidR="00FD7CA9">
        <w:t>m</w:t>
      </w:r>
      <w:r w:rsidRPr="00A94F42">
        <w:t xml:space="preserve">anagement </w:t>
      </w:r>
      <w:r w:rsidR="00FD7CA9">
        <w:t>p</w:t>
      </w:r>
      <w:r w:rsidRPr="00A94F42">
        <w:t xml:space="preserve">lan including detailed route assessment to </w:t>
      </w:r>
      <w:r w:rsidR="0037789F">
        <w:t>D</w:t>
      </w:r>
      <w:r w:rsidR="001A057E">
        <w:t>o</w:t>
      </w:r>
      <w:r w:rsidR="0037789F">
        <w:t>T</w:t>
      </w:r>
      <w:r w:rsidRPr="00A94F42">
        <w:t xml:space="preserve"> for </w:t>
      </w:r>
      <w:bookmarkStart w:id="4" w:name="_Hlk27402905"/>
      <w:r w:rsidRPr="00A94F42">
        <w:t>review</w:t>
      </w:r>
      <w:bookmarkEnd w:id="4"/>
      <w:r w:rsidRPr="00A94F42">
        <w:t>.</w:t>
      </w:r>
    </w:p>
    <w:p w14:paraId="1A296982" w14:textId="5BED5375" w:rsidR="00A94F42" w:rsidRPr="00A94F42" w:rsidRDefault="00A94F42" w:rsidP="00A378FB">
      <w:pPr>
        <w:pStyle w:val="ListBullet"/>
        <w:numPr>
          <w:ilvl w:val="0"/>
          <w:numId w:val="26"/>
        </w:numPr>
        <w:rPr>
          <w:lang w:val="en"/>
        </w:rPr>
      </w:pPr>
      <w:r w:rsidRPr="00A94F42">
        <w:rPr>
          <w:lang w:val="en"/>
        </w:rPr>
        <w:t xml:space="preserve">Identify and advise </w:t>
      </w:r>
      <w:r w:rsidR="001A057E">
        <w:rPr>
          <w:lang w:val="en"/>
        </w:rPr>
        <w:t>DoT</w:t>
      </w:r>
      <w:r w:rsidRPr="00A94F42">
        <w:rPr>
          <w:lang w:val="en"/>
        </w:rPr>
        <w:t xml:space="preserve"> of all civil works required to facilitate transport (to be agreed with the relevant </w:t>
      </w:r>
      <w:r w:rsidR="00593711">
        <w:rPr>
          <w:lang w:val="en"/>
        </w:rPr>
        <w:t>DoT</w:t>
      </w:r>
      <w:r w:rsidRPr="00A94F42">
        <w:rPr>
          <w:lang w:val="en"/>
        </w:rPr>
        <w:t xml:space="preserve"> region if on the</w:t>
      </w:r>
      <w:r w:rsidR="00616299">
        <w:rPr>
          <w:lang w:val="en"/>
        </w:rPr>
        <w:t xml:space="preserve"> Department’s</w:t>
      </w:r>
      <w:r w:rsidRPr="00A94F42">
        <w:rPr>
          <w:lang w:val="en"/>
        </w:rPr>
        <w:t xml:space="preserve"> </w:t>
      </w:r>
      <w:r w:rsidRPr="00A94F42">
        <w:t>regional</w:t>
      </w:r>
      <w:r w:rsidRPr="00A94F42">
        <w:rPr>
          <w:lang w:val="en"/>
        </w:rPr>
        <w:t xml:space="preserve"> managed roads).</w:t>
      </w:r>
      <w:r w:rsidRPr="00A94F42">
        <w:t xml:space="preserve"> </w:t>
      </w:r>
    </w:p>
    <w:p w14:paraId="41C16AB5" w14:textId="77777777" w:rsidR="00A94F42" w:rsidRPr="00A94F42" w:rsidRDefault="00A94F42" w:rsidP="00A378FB">
      <w:pPr>
        <w:pStyle w:val="ListBullet"/>
        <w:numPr>
          <w:ilvl w:val="0"/>
          <w:numId w:val="26"/>
        </w:numPr>
        <w:rPr>
          <w:lang w:val="en"/>
        </w:rPr>
      </w:pPr>
      <w:r w:rsidRPr="00A94F42">
        <w:rPr>
          <w:lang w:val="en"/>
        </w:rPr>
        <w:t>Check for planned or known disruptions and events during planned time of travel.</w:t>
      </w:r>
    </w:p>
    <w:p w14:paraId="182ED476" w14:textId="77777777" w:rsidR="00A94F42" w:rsidRPr="00F07E24" w:rsidRDefault="00A94F42" w:rsidP="00A94F42">
      <w:pPr>
        <w:pStyle w:val="ListBullet"/>
        <w:numPr>
          <w:ilvl w:val="0"/>
          <w:numId w:val="0"/>
        </w:numPr>
        <w:ind w:left="360"/>
      </w:pPr>
    </w:p>
    <w:p w14:paraId="0D444CC5" w14:textId="43C44D5C" w:rsidR="00A94F42" w:rsidRDefault="00A94F42" w:rsidP="00A94F42">
      <w:pPr>
        <w:pStyle w:val="Smallorangetitle"/>
      </w:pPr>
      <w:r>
        <w:t>At least</w:t>
      </w:r>
      <w:r w:rsidR="004A47E3">
        <w:t xml:space="preserve"> 2</w:t>
      </w:r>
      <w:r>
        <w:t xml:space="preserve"> months prior to any Superload movement, the transport operator shall: </w:t>
      </w:r>
    </w:p>
    <w:p w14:paraId="6F967DC1" w14:textId="087534E5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 xml:space="preserve">Submit </w:t>
      </w:r>
      <w:r w:rsidR="00FD7CA9">
        <w:rPr>
          <w:color w:val="000000" w:themeColor="text1"/>
          <w:sz w:val="20"/>
          <w:szCs w:val="18"/>
        </w:rPr>
        <w:t>f</w:t>
      </w:r>
      <w:r w:rsidRPr="00A94F42">
        <w:rPr>
          <w:color w:val="000000" w:themeColor="text1"/>
          <w:sz w:val="20"/>
          <w:szCs w:val="18"/>
        </w:rPr>
        <w:t xml:space="preserve">inal </w:t>
      </w:r>
      <w:r w:rsidR="00FD7CA9">
        <w:rPr>
          <w:color w:val="000000" w:themeColor="text1"/>
          <w:sz w:val="20"/>
          <w:szCs w:val="18"/>
        </w:rPr>
        <w:t>t</w:t>
      </w:r>
      <w:r w:rsidRPr="00A94F42">
        <w:rPr>
          <w:color w:val="000000" w:themeColor="text1"/>
          <w:sz w:val="20"/>
          <w:szCs w:val="18"/>
        </w:rPr>
        <w:t xml:space="preserve">ransport </w:t>
      </w:r>
      <w:r w:rsidR="00FD7CA9">
        <w:rPr>
          <w:color w:val="000000" w:themeColor="text1"/>
          <w:sz w:val="20"/>
          <w:szCs w:val="18"/>
        </w:rPr>
        <w:t>m</w:t>
      </w:r>
      <w:r w:rsidRPr="00A94F42">
        <w:rPr>
          <w:color w:val="000000" w:themeColor="text1"/>
          <w:sz w:val="20"/>
          <w:szCs w:val="18"/>
        </w:rPr>
        <w:t xml:space="preserve">anagement </w:t>
      </w:r>
      <w:r w:rsidR="00FD7CA9">
        <w:rPr>
          <w:color w:val="000000" w:themeColor="text1"/>
          <w:sz w:val="20"/>
          <w:szCs w:val="18"/>
        </w:rPr>
        <w:t>p</w:t>
      </w:r>
      <w:r w:rsidRPr="00A94F42">
        <w:rPr>
          <w:color w:val="000000" w:themeColor="text1"/>
          <w:sz w:val="20"/>
          <w:szCs w:val="18"/>
        </w:rPr>
        <w:t xml:space="preserve">lan including final route details to </w:t>
      </w:r>
      <w:r w:rsidR="001A057E">
        <w:rPr>
          <w:color w:val="000000" w:themeColor="text1"/>
          <w:sz w:val="20"/>
          <w:szCs w:val="18"/>
        </w:rPr>
        <w:t>DoT</w:t>
      </w:r>
      <w:r w:rsidRPr="00A94F42">
        <w:rPr>
          <w:color w:val="000000" w:themeColor="text1"/>
          <w:sz w:val="20"/>
          <w:szCs w:val="18"/>
        </w:rPr>
        <w:t xml:space="preserve"> for review and assessment.</w:t>
      </w:r>
    </w:p>
    <w:p w14:paraId="7B634295" w14:textId="43CCDF97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 xml:space="preserve">Submit </w:t>
      </w:r>
      <w:r w:rsidR="00FD7CA9">
        <w:rPr>
          <w:color w:val="000000" w:themeColor="text1"/>
          <w:sz w:val="20"/>
          <w:szCs w:val="18"/>
        </w:rPr>
        <w:t>d</w:t>
      </w:r>
      <w:r w:rsidRPr="00A94F42">
        <w:rPr>
          <w:color w:val="000000" w:themeColor="text1"/>
          <w:sz w:val="20"/>
          <w:szCs w:val="18"/>
        </w:rPr>
        <w:t xml:space="preserve">raft Traffic Management Plan to </w:t>
      </w:r>
      <w:r w:rsidR="0037789F">
        <w:rPr>
          <w:color w:val="000000" w:themeColor="text1"/>
          <w:sz w:val="20"/>
          <w:szCs w:val="18"/>
        </w:rPr>
        <w:t>D</w:t>
      </w:r>
      <w:r w:rsidR="001A057E">
        <w:rPr>
          <w:color w:val="000000" w:themeColor="text1"/>
          <w:sz w:val="20"/>
          <w:szCs w:val="18"/>
        </w:rPr>
        <w:t>o</w:t>
      </w:r>
      <w:r w:rsidR="0037789F">
        <w:rPr>
          <w:color w:val="000000" w:themeColor="text1"/>
          <w:sz w:val="20"/>
          <w:szCs w:val="18"/>
        </w:rPr>
        <w:t>T</w:t>
      </w:r>
      <w:r w:rsidRPr="00A94F42">
        <w:rPr>
          <w:color w:val="000000" w:themeColor="text1"/>
          <w:sz w:val="20"/>
          <w:szCs w:val="18"/>
        </w:rPr>
        <w:t xml:space="preserve"> for review including identification of all relevant M</w:t>
      </w:r>
      <w:r w:rsidR="00D25E98">
        <w:rPr>
          <w:color w:val="000000" w:themeColor="text1"/>
          <w:sz w:val="20"/>
          <w:szCs w:val="18"/>
        </w:rPr>
        <w:t xml:space="preserve">emorandum of </w:t>
      </w:r>
      <w:r w:rsidRPr="00A94F42">
        <w:rPr>
          <w:color w:val="000000" w:themeColor="text1"/>
          <w:sz w:val="20"/>
          <w:szCs w:val="18"/>
        </w:rPr>
        <w:t>A</w:t>
      </w:r>
      <w:r w:rsidR="00D25E98">
        <w:rPr>
          <w:color w:val="000000" w:themeColor="text1"/>
          <w:sz w:val="20"/>
          <w:szCs w:val="18"/>
        </w:rPr>
        <w:t>pproval</w:t>
      </w:r>
      <w:r w:rsidRPr="00A94F42">
        <w:rPr>
          <w:color w:val="000000" w:themeColor="text1"/>
          <w:sz w:val="20"/>
          <w:szCs w:val="18"/>
        </w:rPr>
        <w:t xml:space="preserve"> (</w:t>
      </w:r>
      <w:r w:rsidR="00D25E98">
        <w:rPr>
          <w:color w:val="000000" w:themeColor="text1"/>
          <w:sz w:val="20"/>
          <w:szCs w:val="18"/>
        </w:rPr>
        <w:t xml:space="preserve">MOA </w:t>
      </w:r>
      <w:r w:rsidRPr="00A94F42">
        <w:rPr>
          <w:color w:val="000000" w:themeColor="text1"/>
          <w:sz w:val="20"/>
          <w:szCs w:val="18"/>
        </w:rPr>
        <w:t>e.g. park-up bays, road closures, wrong-way travel, etc) required to support load movement/s.</w:t>
      </w:r>
    </w:p>
    <w:p w14:paraId="29FE3681" w14:textId="77777777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>Identify all road furniture removal required and contractors engaged to perform task.</w:t>
      </w:r>
    </w:p>
    <w:p w14:paraId="187DCDC1" w14:textId="1CC64DB2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 xml:space="preserve">Contact and secure third-party consent for </w:t>
      </w:r>
      <w:r w:rsidR="000F21EB">
        <w:rPr>
          <w:color w:val="000000" w:themeColor="text1"/>
          <w:sz w:val="20"/>
          <w:szCs w:val="18"/>
        </w:rPr>
        <w:t xml:space="preserve">raising of </w:t>
      </w:r>
      <w:r w:rsidRPr="00A94F42">
        <w:rPr>
          <w:color w:val="000000" w:themeColor="text1"/>
          <w:sz w:val="20"/>
          <w:szCs w:val="18"/>
        </w:rPr>
        <w:t>any overhead powerlines required from the relevant power/communication authorities and operators.</w:t>
      </w:r>
    </w:p>
    <w:p w14:paraId="2D4B2541" w14:textId="77777777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>Contact and secure third-party consent for any rail/tram crossings required from the relevant rail/tram authorities and operators.</w:t>
      </w:r>
    </w:p>
    <w:p w14:paraId="36E0F4AC" w14:textId="77777777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 xml:space="preserve">Contact and secure third-party consent for access from other commercial road bodies such as Transurban, </w:t>
      </w:r>
      <w:proofErr w:type="spellStart"/>
      <w:r w:rsidRPr="00A94F42">
        <w:rPr>
          <w:color w:val="000000" w:themeColor="text1"/>
          <w:sz w:val="20"/>
          <w:szCs w:val="18"/>
        </w:rPr>
        <w:t>EastLink</w:t>
      </w:r>
      <w:proofErr w:type="spellEnd"/>
      <w:r w:rsidRPr="00A94F42">
        <w:rPr>
          <w:color w:val="000000" w:themeColor="text1"/>
          <w:sz w:val="20"/>
          <w:szCs w:val="18"/>
        </w:rPr>
        <w:t xml:space="preserve">, </w:t>
      </w:r>
      <w:proofErr w:type="spellStart"/>
      <w:r w:rsidRPr="00A94F42">
        <w:rPr>
          <w:color w:val="000000" w:themeColor="text1"/>
          <w:sz w:val="20"/>
          <w:szCs w:val="18"/>
        </w:rPr>
        <w:t>CityLink</w:t>
      </w:r>
      <w:proofErr w:type="spellEnd"/>
      <w:r w:rsidRPr="00A94F42">
        <w:rPr>
          <w:color w:val="000000" w:themeColor="text1"/>
          <w:sz w:val="20"/>
          <w:szCs w:val="18"/>
        </w:rPr>
        <w:t xml:space="preserve"> and Peninsula Link.</w:t>
      </w:r>
    </w:p>
    <w:p w14:paraId="6F173DF4" w14:textId="77777777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>Contact and secure consents and approvals regarding any Local Council assets.</w:t>
      </w:r>
    </w:p>
    <w:p w14:paraId="69B0A0D1" w14:textId="36E39300" w:rsidR="00A94F42" w:rsidRPr="00A94F42" w:rsidRDefault="00A94F42" w:rsidP="00A378FB">
      <w:pPr>
        <w:pStyle w:val="ListParagraph"/>
        <w:numPr>
          <w:ilvl w:val="0"/>
          <w:numId w:val="27"/>
        </w:numPr>
        <w:rPr>
          <w:color w:val="000000" w:themeColor="text1"/>
          <w:sz w:val="20"/>
          <w:szCs w:val="18"/>
        </w:rPr>
      </w:pPr>
      <w:r w:rsidRPr="00A94F42">
        <w:rPr>
          <w:color w:val="000000" w:themeColor="text1"/>
          <w:sz w:val="20"/>
          <w:szCs w:val="18"/>
        </w:rPr>
        <w:t xml:space="preserve">Submit </w:t>
      </w:r>
      <w:r w:rsidR="00FD7CA9">
        <w:rPr>
          <w:color w:val="000000" w:themeColor="text1"/>
          <w:sz w:val="20"/>
          <w:szCs w:val="18"/>
        </w:rPr>
        <w:t>d</w:t>
      </w:r>
      <w:r w:rsidRPr="00A94F42">
        <w:rPr>
          <w:color w:val="000000" w:themeColor="text1"/>
          <w:sz w:val="20"/>
          <w:szCs w:val="18"/>
        </w:rPr>
        <w:t xml:space="preserve">raft Risk Management Plan to </w:t>
      </w:r>
      <w:r w:rsidR="0037789F">
        <w:rPr>
          <w:color w:val="000000" w:themeColor="text1"/>
          <w:sz w:val="20"/>
          <w:szCs w:val="18"/>
        </w:rPr>
        <w:t>D</w:t>
      </w:r>
      <w:r w:rsidR="001A057E">
        <w:rPr>
          <w:color w:val="000000" w:themeColor="text1"/>
          <w:sz w:val="20"/>
          <w:szCs w:val="18"/>
        </w:rPr>
        <w:t>o</w:t>
      </w:r>
      <w:r w:rsidR="0037789F">
        <w:rPr>
          <w:color w:val="000000" w:themeColor="text1"/>
          <w:sz w:val="20"/>
          <w:szCs w:val="18"/>
        </w:rPr>
        <w:t>T</w:t>
      </w:r>
      <w:r w:rsidRPr="00A94F42">
        <w:rPr>
          <w:color w:val="000000" w:themeColor="text1"/>
          <w:sz w:val="20"/>
          <w:szCs w:val="18"/>
        </w:rPr>
        <w:t xml:space="preserve"> for review including Contingency Planning, Risk Analysis &amp; documentation for community consequence (social/economic/reputation) and consideration of risk to people, assets and infrastructure.</w:t>
      </w:r>
    </w:p>
    <w:p w14:paraId="5088D2A4" w14:textId="7B62E552" w:rsidR="00CD284F" w:rsidRDefault="00A94F42" w:rsidP="00CD284F">
      <w:pPr>
        <w:pStyle w:val="Smallorangetitle"/>
      </w:pPr>
      <w:r>
        <w:t xml:space="preserve">At least </w:t>
      </w:r>
      <w:r w:rsidR="004A47E3">
        <w:t>6</w:t>
      </w:r>
      <w:r w:rsidR="00CD284F">
        <w:t xml:space="preserve"> weeks</w:t>
      </w:r>
      <w:r>
        <w:t xml:space="preserve"> prior to any Superload movement, the transport operator shall: </w:t>
      </w:r>
    </w:p>
    <w:p w14:paraId="245903FD" w14:textId="652DCFC9" w:rsidR="00CD284F" w:rsidRDefault="00CD284F" w:rsidP="00A005EF">
      <w:pPr>
        <w:pStyle w:val="Smallorangetitle"/>
        <w:numPr>
          <w:ilvl w:val="0"/>
          <w:numId w:val="28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Submit </w:t>
      </w:r>
      <w:r w:rsidR="00FD7CA9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p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ermit </w:t>
      </w:r>
      <w:r w:rsidR="00FD7CA9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a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pplication/s to N</w:t>
      </w:r>
      <w: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H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VR.</w:t>
      </w:r>
    </w:p>
    <w:p w14:paraId="7A4DC8F2" w14:textId="77777777" w:rsidR="00CD284F" w:rsidRDefault="00CD284F" w:rsidP="00CD284F">
      <w:pPr>
        <w:pStyle w:val="Smallorangetitle"/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</w:p>
    <w:p w14:paraId="2A691EF4" w14:textId="70A7AE32" w:rsidR="00CD284F" w:rsidRDefault="00CD284F" w:rsidP="00CD284F">
      <w:pPr>
        <w:pStyle w:val="Smallorangetitle"/>
      </w:pPr>
      <w:r>
        <w:t xml:space="preserve">At least </w:t>
      </w:r>
      <w:r w:rsidR="004A47E3">
        <w:t>1</w:t>
      </w:r>
      <w:r>
        <w:t xml:space="preserve"> month prior to any Superload movement, the transport operator shall: </w:t>
      </w:r>
    </w:p>
    <w:p w14:paraId="09E00F03" w14:textId="7897DAAC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Advise 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D</w:t>
      </w:r>
      <w:r w:rsidR="001A057E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o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T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of their key contacts.</w:t>
      </w:r>
    </w:p>
    <w:p w14:paraId="73ACAADF" w14:textId="3D030589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Submit </w:t>
      </w:r>
      <w:r w:rsidR="00FD7CA9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f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inal Traffic Management Plan to 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D</w:t>
      </w:r>
      <w:r w:rsidR="001A057E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o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T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for assessment including identification of all relevant MOA’s (e.g. park-up bays, road closures, wrong-way travel, etc) required to support load movement/s</w:t>
      </w:r>
      <w:r w:rsidR="00695EA8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.</w:t>
      </w:r>
    </w:p>
    <w:p w14:paraId="42242379" w14:textId="31DA4D1F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Submit </w:t>
      </w:r>
      <w:r w:rsidR="00FD7CA9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f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inal Risk Management Plan to 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D</w:t>
      </w:r>
      <w:r w:rsidR="001A057E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o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T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for assessment including Contingency Planning, Risk Analysis &amp; documentation for community consequence (social/economic/reputation) and consideration of risk to people, assets and infrastructure</w:t>
      </w:r>
      <w:r w:rsidR="00695EA8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.</w:t>
      </w:r>
    </w:p>
    <w:p w14:paraId="7F71B989" w14:textId="77777777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Complete all civil works required to facilitate transport.</w:t>
      </w:r>
    </w:p>
    <w:p w14:paraId="48E7C224" w14:textId="1ECD6645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Confirm that any 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D</w:t>
      </w:r>
      <w:r w:rsidR="00BB4E00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o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T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asset protections required are either installed or organi</w:t>
      </w:r>
      <w:r w:rsidR="00FD7CA9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s</w:t>
      </w: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ed (e.g. bridge or culvert propping/strengthening/plating/etc).</w:t>
      </w:r>
    </w:p>
    <w:p w14:paraId="7E0FC534" w14:textId="77777777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Confirm that all road furniture removal and restoration requirements are in place.</w:t>
      </w:r>
    </w:p>
    <w:p w14:paraId="5C059DB9" w14:textId="77777777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Confirm all movement dates.</w:t>
      </w:r>
    </w:p>
    <w:p w14:paraId="1DD552E1" w14:textId="5730B374" w:rsidR="00CD284F" w:rsidRPr="00CD284F" w:rsidRDefault="00CD284F" w:rsidP="00A005EF">
      <w:pPr>
        <w:pStyle w:val="Smallorangetitle"/>
        <w:numPr>
          <w:ilvl w:val="0"/>
          <w:numId w:val="29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Confirm that all certified pilot arrangements are in place</w:t>
      </w:r>
      <w: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. </w:t>
      </w:r>
    </w:p>
    <w:p w14:paraId="06EBA866" w14:textId="19A81431" w:rsidR="00CD284F" w:rsidRDefault="00CD284F" w:rsidP="00CD284F">
      <w:pPr>
        <w:pStyle w:val="Smallorangetitle"/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</w:p>
    <w:p w14:paraId="3930E8A0" w14:textId="77777777" w:rsidR="00CD284F" w:rsidRPr="00CD284F" w:rsidRDefault="00CD284F" w:rsidP="00A94F42">
      <w:pPr>
        <w:pStyle w:val="Smallorangetitle"/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</w:p>
    <w:p w14:paraId="1D83B113" w14:textId="77777777" w:rsidR="004D465F" w:rsidRDefault="004D465F">
      <w:pPr>
        <w:spacing w:before="0" w:after="0"/>
        <w:rPr>
          <w:b/>
          <w:color w:val="595959" w:themeColor="text1" w:themeTint="A6"/>
          <w:sz w:val="28"/>
        </w:rPr>
      </w:pPr>
      <w:r>
        <w:br w:type="page"/>
      </w:r>
    </w:p>
    <w:p w14:paraId="33B09707" w14:textId="29BE0304" w:rsidR="00CD284F" w:rsidRDefault="00CD284F" w:rsidP="00CD284F">
      <w:pPr>
        <w:pStyle w:val="Heading2"/>
      </w:pPr>
      <w:bookmarkStart w:id="5" w:name="_Toc31200176"/>
      <w:r>
        <w:lastRenderedPageBreak/>
        <w:t>Department of Transport</w:t>
      </w:r>
      <w:r w:rsidR="00695EA8">
        <w:t xml:space="preserve"> r</w:t>
      </w:r>
      <w:r>
        <w:t>equirements:</w:t>
      </w:r>
      <w:bookmarkEnd w:id="5"/>
      <w:r>
        <w:t xml:space="preserve"> </w:t>
      </w:r>
    </w:p>
    <w:p w14:paraId="1BDB549B" w14:textId="37ED4282" w:rsidR="004A47E3" w:rsidRDefault="004A47E3" w:rsidP="004A47E3">
      <w:pPr>
        <w:pStyle w:val="Smallorangetitle"/>
      </w:pPr>
      <w:r>
        <w:t xml:space="preserve">At least 6 months prior to any Superload movement, </w:t>
      </w:r>
      <w:r w:rsidR="00695EA8">
        <w:t xml:space="preserve">the </w:t>
      </w:r>
      <w:r>
        <w:t>Department of Transport</w:t>
      </w:r>
      <w:r w:rsidR="00673755">
        <w:t xml:space="preserve"> shall</w:t>
      </w:r>
      <w:r>
        <w:t xml:space="preserve">: </w:t>
      </w:r>
    </w:p>
    <w:p w14:paraId="4849899D" w14:textId="1124AB3C" w:rsidR="004A47E3" w:rsidRDefault="00695EA8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E</w:t>
      </w:r>
      <w:r w:rsid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stablish a meeting schedule</w:t>
      </w:r>
      <w: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with the Superload project owner</w:t>
      </w:r>
      <w:r w:rsid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to manage the proposed Superload movements</w:t>
      </w:r>
      <w:r w:rsidR="004A47E3" w:rsidRPr="00CD284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.</w:t>
      </w:r>
    </w:p>
    <w:p w14:paraId="26268890" w14:textId="77777777" w:rsidR="00385637" w:rsidRPr="00385637" w:rsidRDefault="00385637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Issue applicable upfront pre-movement invoice. </w:t>
      </w:r>
    </w:p>
    <w:p w14:paraId="51AF6F4C" w14:textId="77777777" w:rsidR="00385637" w:rsidRPr="00385637" w:rsidRDefault="00385637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Provide initial advice regarding known route options and possible required detours based on similar previous moves.</w:t>
      </w:r>
    </w:p>
    <w:p w14:paraId="524DA324" w14:textId="1C74ACD7" w:rsidR="00385637" w:rsidRPr="00385637" w:rsidRDefault="00695EA8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C</w:t>
      </w:r>
      <w:r w:rsidR="00385637"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ommence structural and other infrastructure asset assessments for proposed route</w:t>
      </w:r>
      <w: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following receipt of proposed vehicle configuration details from transport operator</w:t>
      </w:r>
      <w:r w:rsidR="00385637"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.</w:t>
      </w:r>
    </w:p>
    <w:p w14:paraId="07788D39" w14:textId="7568FFBA" w:rsidR="00385637" w:rsidRPr="00385637" w:rsidRDefault="00385637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Commence </w:t>
      </w:r>
      <w:r w:rsidR="007D1C4D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r</w:t>
      </w: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isk </w:t>
      </w:r>
      <w:r w:rsidR="007D1C4D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a</w:t>
      </w: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ssessment including consideration of risk to people, assets and infrastructure.</w:t>
      </w:r>
    </w:p>
    <w:p w14:paraId="36CE81D3" w14:textId="7DB70459" w:rsidR="00385637" w:rsidRPr="00385637" w:rsidRDefault="00385637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Inform 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D</w:t>
      </w:r>
      <w:r w:rsidR="00BB4E00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o</w:t>
      </w:r>
      <w:r w:rsidR="0037789F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T</w:t>
      </w: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regional offices of the proposed move in order to identify any possible issues</w:t>
      </w:r>
      <w:r w:rsidR="00695EA8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, </w:t>
      </w: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disruptions</w:t>
      </w:r>
      <w:r w:rsidR="00695EA8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 or </w:t>
      </w: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scheduled works.</w:t>
      </w:r>
    </w:p>
    <w:p w14:paraId="2B574562" w14:textId="77777777" w:rsidR="00385637" w:rsidRPr="00385637" w:rsidRDefault="00385637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Engage with Emergency Management Victoria and other related external stakeholders in relation to the project.</w:t>
      </w:r>
    </w:p>
    <w:p w14:paraId="4E0D9040" w14:textId="4ECBA34D" w:rsidR="00385637" w:rsidRDefault="00385637" w:rsidP="00AA18E8">
      <w:pPr>
        <w:pStyle w:val="Smallorangetitle"/>
        <w:numPr>
          <w:ilvl w:val="0"/>
          <w:numId w:val="32"/>
        </w:numPr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Identify and alert other </w:t>
      </w:r>
      <w:r w:rsidR="00695EA8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 xml:space="preserve">relevant </w:t>
      </w:r>
      <w:r w:rsidRPr="00385637"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  <w:t>stakeholders.</w:t>
      </w:r>
    </w:p>
    <w:p w14:paraId="42550183" w14:textId="77777777" w:rsidR="00385637" w:rsidRPr="00385637" w:rsidRDefault="00385637" w:rsidP="00385637">
      <w:pPr>
        <w:pStyle w:val="Smallorangetitle"/>
        <w:ind w:left="360"/>
        <w:rPr>
          <w:rFonts w:asciiTheme="minorHAnsi" w:eastAsiaTheme="minorHAnsi" w:hAnsiTheme="minorHAnsi" w:cstheme="minorBidi"/>
          <w:b w:val="0"/>
          <w:color w:val="000000" w:themeColor="text1"/>
          <w:lang w:eastAsia="en-US"/>
        </w:rPr>
      </w:pPr>
    </w:p>
    <w:p w14:paraId="6B86915F" w14:textId="2B60707B" w:rsidR="00385637" w:rsidRDefault="00385637" w:rsidP="00385637">
      <w:pPr>
        <w:pStyle w:val="Smallorangetitle"/>
      </w:pPr>
      <w:r>
        <w:t xml:space="preserve">At least 3 months prior to any Superload movement, </w:t>
      </w:r>
      <w:r w:rsidR="00695EA8">
        <w:t xml:space="preserve">the </w:t>
      </w:r>
      <w:r>
        <w:t xml:space="preserve">Department of Transport shall: </w:t>
      </w:r>
    </w:p>
    <w:p w14:paraId="0BC02CBE" w14:textId="77777777" w:rsidR="00385637" w:rsidRPr="00385637" w:rsidRDefault="00385637" w:rsidP="00AA18E8">
      <w:pPr>
        <w:pStyle w:val="ListParagraph"/>
        <w:numPr>
          <w:ilvl w:val="0"/>
          <w:numId w:val="33"/>
        </w:numPr>
        <w:rPr>
          <w:color w:val="000000" w:themeColor="text1"/>
          <w:sz w:val="20"/>
          <w:szCs w:val="18"/>
        </w:rPr>
      </w:pPr>
      <w:r w:rsidRPr="00385637">
        <w:rPr>
          <w:color w:val="000000" w:themeColor="text1"/>
          <w:sz w:val="20"/>
          <w:szCs w:val="18"/>
        </w:rPr>
        <w:t>Provide confirmation on the public engagement and communications strategy.</w:t>
      </w:r>
    </w:p>
    <w:p w14:paraId="66811A69" w14:textId="77777777" w:rsidR="00385637" w:rsidRPr="00385637" w:rsidRDefault="00385637" w:rsidP="00AA18E8">
      <w:pPr>
        <w:pStyle w:val="ListParagraph"/>
        <w:numPr>
          <w:ilvl w:val="0"/>
          <w:numId w:val="33"/>
        </w:numPr>
        <w:rPr>
          <w:color w:val="000000" w:themeColor="text1"/>
          <w:sz w:val="20"/>
          <w:szCs w:val="18"/>
        </w:rPr>
      </w:pPr>
      <w:r w:rsidRPr="00385637">
        <w:rPr>
          <w:color w:val="000000" w:themeColor="text1"/>
          <w:sz w:val="20"/>
          <w:szCs w:val="18"/>
        </w:rPr>
        <w:t>Identify structure line-marking requirements.</w:t>
      </w:r>
    </w:p>
    <w:p w14:paraId="01DF207D" w14:textId="1BE56F9F" w:rsidR="00385637" w:rsidRPr="00385637" w:rsidRDefault="00385637" w:rsidP="00AA18E8">
      <w:pPr>
        <w:pStyle w:val="ListParagraph"/>
        <w:numPr>
          <w:ilvl w:val="0"/>
          <w:numId w:val="33"/>
        </w:numPr>
        <w:rPr>
          <w:color w:val="000000" w:themeColor="text1"/>
          <w:sz w:val="20"/>
          <w:szCs w:val="18"/>
        </w:rPr>
      </w:pPr>
      <w:r w:rsidRPr="00385637">
        <w:rPr>
          <w:color w:val="000000" w:themeColor="text1"/>
          <w:sz w:val="20"/>
          <w:szCs w:val="18"/>
        </w:rPr>
        <w:t xml:space="preserve">Check for any </w:t>
      </w:r>
      <w:r w:rsidR="0037789F">
        <w:rPr>
          <w:color w:val="000000" w:themeColor="text1"/>
          <w:sz w:val="20"/>
          <w:szCs w:val="18"/>
        </w:rPr>
        <w:t>D</w:t>
      </w:r>
      <w:r w:rsidR="00BB4E00">
        <w:rPr>
          <w:color w:val="000000" w:themeColor="text1"/>
          <w:sz w:val="20"/>
          <w:szCs w:val="18"/>
        </w:rPr>
        <w:t>o</w:t>
      </w:r>
      <w:r w:rsidR="0037789F">
        <w:rPr>
          <w:color w:val="000000" w:themeColor="text1"/>
          <w:sz w:val="20"/>
          <w:szCs w:val="18"/>
        </w:rPr>
        <w:t>T</w:t>
      </w:r>
      <w:r w:rsidRPr="00385637">
        <w:rPr>
          <w:color w:val="000000" w:themeColor="text1"/>
          <w:sz w:val="20"/>
          <w:szCs w:val="18"/>
        </w:rPr>
        <w:t xml:space="preserve"> planned disruptions and events during advised time of travel.</w:t>
      </w:r>
    </w:p>
    <w:p w14:paraId="67EE15ED" w14:textId="0818ACC9" w:rsidR="00385637" w:rsidRPr="00385637" w:rsidRDefault="00385637" w:rsidP="00AA18E8">
      <w:pPr>
        <w:pStyle w:val="ListParagraph"/>
        <w:numPr>
          <w:ilvl w:val="0"/>
          <w:numId w:val="33"/>
        </w:numPr>
        <w:rPr>
          <w:color w:val="000000" w:themeColor="text1"/>
          <w:sz w:val="20"/>
          <w:szCs w:val="18"/>
        </w:rPr>
      </w:pPr>
      <w:bookmarkStart w:id="6" w:name="_Hlk27647169"/>
      <w:r w:rsidRPr="00385637">
        <w:rPr>
          <w:color w:val="000000" w:themeColor="text1"/>
          <w:sz w:val="20"/>
          <w:szCs w:val="18"/>
        </w:rPr>
        <w:t xml:space="preserve">Review </w:t>
      </w:r>
      <w:r w:rsidR="007D1C4D">
        <w:rPr>
          <w:color w:val="000000" w:themeColor="text1"/>
          <w:sz w:val="20"/>
          <w:szCs w:val="18"/>
        </w:rPr>
        <w:t>d</w:t>
      </w:r>
      <w:r w:rsidRPr="00385637">
        <w:rPr>
          <w:color w:val="000000" w:themeColor="text1"/>
          <w:sz w:val="20"/>
          <w:szCs w:val="18"/>
        </w:rPr>
        <w:t xml:space="preserve">raft Transport Management Plan following receipt from </w:t>
      </w:r>
      <w:r w:rsidR="007D1C4D">
        <w:rPr>
          <w:color w:val="000000" w:themeColor="text1"/>
          <w:sz w:val="20"/>
          <w:szCs w:val="18"/>
        </w:rPr>
        <w:t>t</w:t>
      </w:r>
      <w:r w:rsidRPr="00385637">
        <w:rPr>
          <w:color w:val="000000" w:themeColor="text1"/>
          <w:sz w:val="20"/>
          <w:szCs w:val="18"/>
        </w:rPr>
        <w:t xml:space="preserve">ransport </w:t>
      </w:r>
      <w:r w:rsidR="007D1C4D">
        <w:rPr>
          <w:color w:val="000000" w:themeColor="text1"/>
          <w:sz w:val="20"/>
          <w:szCs w:val="18"/>
        </w:rPr>
        <w:t>o</w:t>
      </w:r>
      <w:r w:rsidRPr="00385637">
        <w:rPr>
          <w:color w:val="000000" w:themeColor="text1"/>
          <w:sz w:val="20"/>
          <w:szCs w:val="18"/>
        </w:rPr>
        <w:t>perator.</w:t>
      </w:r>
    </w:p>
    <w:bookmarkEnd w:id="6"/>
    <w:p w14:paraId="425EDD04" w14:textId="1E9DEB81" w:rsidR="00D00113" w:rsidRDefault="00D00113" w:rsidP="00D00113">
      <w:pPr>
        <w:pStyle w:val="Smallorangetitle"/>
      </w:pPr>
      <w:r>
        <w:t xml:space="preserve">At least 2 months prior to any Superload movement, </w:t>
      </w:r>
      <w:r w:rsidR="00695EA8">
        <w:t xml:space="preserve">the </w:t>
      </w:r>
      <w:r>
        <w:t xml:space="preserve">Department of Transport shall: </w:t>
      </w:r>
    </w:p>
    <w:p w14:paraId="7625DDB7" w14:textId="77777777" w:rsidR="00D00113" w:rsidRPr="00D00113" w:rsidRDefault="00D00113" w:rsidP="00AA18E8">
      <w:pPr>
        <w:pStyle w:val="ListParagraph"/>
        <w:numPr>
          <w:ilvl w:val="0"/>
          <w:numId w:val="34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>Complete structural and other infrastructure asset assessments and report on bridge/culvert monitoring, protection and temporary propping/strengthening/plating measures identified and required.</w:t>
      </w:r>
    </w:p>
    <w:p w14:paraId="25B7BADB" w14:textId="7E6ACE42" w:rsidR="00D00113" w:rsidRPr="00D00113" w:rsidRDefault="00D00113" w:rsidP="00AA18E8">
      <w:pPr>
        <w:pStyle w:val="ListParagraph"/>
        <w:numPr>
          <w:ilvl w:val="0"/>
          <w:numId w:val="34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Complete </w:t>
      </w:r>
      <w:r w:rsidR="007D1C4D">
        <w:rPr>
          <w:color w:val="000000" w:themeColor="text1"/>
          <w:sz w:val="20"/>
          <w:szCs w:val="18"/>
        </w:rPr>
        <w:t>r</w:t>
      </w:r>
      <w:r w:rsidRPr="00D00113">
        <w:rPr>
          <w:color w:val="000000" w:themeColor="text1"/>
          <w:sz w:val="20"/>
          <w:szCs w:val="18"/>
        </w:rPr>
        <w:t xml:space="preserve">isk </w:t>
      </w:r>
      <w:r w:rsidR="007D1C4D">
        <w:rPr>
          <w:color w:val="000000" w:themeColor="text1"/>
          <w:sz w:val="20"/>
          <w:szCs w:val="18"/>
        </w:rPr>
        <w:t>a</w:t>
      </w:r>
      <w:r w:rsidRPr="00D00113">
        <w:rPr>
          <w:color w:val="000000" w:themeColor="text1"/>
          <w:sz w:val="20"/>
          <w:szCs w:val="18"/>
        </w:rPr>
        <w:t>ssessment including consideration of risk to people, assets and infrastructure</w:t>
      </w:r>
      <w:r w:rsidR="007D1C4D">
        <w:rPr>
          <w:color w:val="000000" w:themeColor="text1"/>
          <w:sz w:val="20"/>
          <w:szCs w:val="18"/>
        </w:rPr>
        <w:t>.</w:t>
      </w:r>
    </w:p>
    <w:p w14:paraId="14882353" w14:textId="6277A4F9" w:rsidR="00D00113" w:rsidRPr="00D00113" w:rsidRDefault="00D00113" w:rsidP="00AA18E8">
      <w:pPr>
        <w:pStyle w:val="ListParagraph"/>
        <w:numPr>
          <w:ilvl w:val="0"/>
          <w:numId w:val="34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Complete contingency planning </w:t>
      </w:r>
      <w:r w:rsidR="00695EA8">
        <w:rPr>
          <w:color w:val="000000" w:themeColor="text1"/>
          <w:sz w:val="20"/>
          <w:szCs w:val="18"/>
        </w:rPr>
        <w:t>and</w:t>
      </w:r>
      <w:r w:rsidRPr="00D00113">
        <w:rPr>
          <w:color w:val="000000" w:themeColor="text1"/>
          <w:sz w:val="20"/>
          <w:szCs w:val="18"/>
        </w:rPr>
        <w:t xml:space="preserve"> documentation for community consequence (social/economic/reputation).</w:t>
      </w:r>
    </w:p>
    <w:p w14:paraId="45BFF0BB" w14:textId="510594EB" w:rsidR="00D00113" w:rsidRPr="00D00113" w:rsidRDefault="00D00113" w:rsidP="00AA18E8">
      <w:pPr>
        <w:pStyle w:val="ListParagraph"/>
        <w:numPr>
          <w:ilvl w:val="0"/>
          <w:numId w:val="34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Review </w:t>
      </w:r>
      <w:r w:rsidR="007D1C4D">
        <w:rPr>
          <w:color w:val="000000" w:themeColor="text1"/>
          <w:sz w:val="20"/>
          <w:szCs w:val="18"/>
        </w:rPr>
        <w:t>f</w:t>
      </w:r>
      <w:r w:rsidRPr="00D00113">
        <w:rPr>
          <w:color w:val="000000" w:themeColor="text1"/>
          <w:sz w:val="20"/>
          <w:szCs w:val="18"/>
        </w:rPr>
        <w:t xml:space="preserve">inal Transport Management Plan following receipt from </w:t>
      </w:r>
      <w:r w:rsidR="007D1C4D">
        <w:rPr>
          <w:color w:val="000000" w:themeColor="text1"/>
          <w:sz w:val="20"/>
          <w:szCs w:val="18"/>
        </w:rPr>
        <w:t>t</w:t>
      </w:r>
      <w:r w:rsidRPr="00D00113">
        <w:rPr>
          <w:color w:val="000000" w:themeColor="text1"/>
          <w:sz w:val="20"/>
          <w:szCs w:val="18"/>
        </w:rPr>
        <w:t xml:space="preserve">ransport </w:t>
      </w:r>
      <w:r w:rsidR="007D1C4D">
        <w:rPr>
          <w:color w:val="000000" w:themeColor="text1"/>
          <w:sz w:val="20"/>
          <w:szCs w:val="18"/>
        </w:rPr>
        <w:t>o</w:t>
      </w:r>
      <w:r w:rsidRPr="00D00113">
        <w:rPr>
          <w:color w:val="000000" w:themeColor="text1"/>
          <w:sz w:val="20"/>
          <w:szCs w:val="18"/>
        </w:rPr>
        <w:t>perator.</w:t>
      </w:r>
    </w:p>
    <w:p w14:paraId="6F831E02" w14:textId="23A79DF7" w:rsidR="00D00113" w:rsidRPr="00D00113" w:rsidRDefault="00D00113" w:rsidP="00AA18E8">
      <w:pPr>
        <w:pStyle w:val="ListParagraph"/>
        <w:numPr>
          <w:ilvl w:val="0"/>
          <w:numId w:val="34"/>
        </w:numPr>
        <w:rPr>
          <w:color w:val="000000" w:themeColor="text1"/>
          <w:sz w:val="20"/>
          <w:szCs w:val="18"/>
        </w:rPr>
      </w:pPr>
      <w:bookmarkStart w:id="7" w:name="_Hlk27647285"/>
      <w:r w:rsidRPr="00D00113">
        <w:rPr>
          <w:color w:val="000000" w:themeColor="text1"/>
          <w:sz w:val="20"/>
          <w:szCs w:val="18"/>
        </w:rPr>
        <w:t xml:space="preserve">Review </w:t>
      </w:r>
      <w:r w:rsidR="007D1C4D">
        <w:rPr>
          <w:color w:val="000000" w:themeColor="text1"/>
          <w:sz w:val="20"/>
          <w:szCs w:val="18"/>
        </w:rPr>
        <w:t>d</w:t>
      </w:r>
      <w:r w:rsidRPr="00D00113">
        <w:rPr>
          <w:color w:val="000000" w:themeColor="text1"/>
          <w:sz w:val="20"/>
          <w:szCs w:val="18"/>
        </w:rPr>
        <w:t xml:space="preserve">raft Traffic Management Plan following receipt from </w:t>
      </w:r>
      <w:r w:rsidR="007D1C4D">
        <w:rPr>
          <w:color w:val="000000" w:themeColor="text1"/>
          <w:sz w:val="20"/>
          <w:szCs w:val="18"/>
        </w:rPr>
        <w:t>t</w:t>
      </w:r>
      <w:r w:rsidRPr="00D00113">
        <w:rPr>
          <w:color w:val="000000" w:themeColor="text1"/>
          <w:sz w:val="20"/>
          <w:szCs w:val="18"/>
        </w:rPr>
        <w:t xml:space="preserve">ransport </w:t>
      </w:r>
      <w:r w:rsidR="007D1C4D">
        <w:rPr>
          <w:color w:val="000000" w:themeColor="text1"/>
          <w:sz w:val="20"/>
          <w:szCs w:val="18"/>
        </w:rPr>
        <w:t>o</w:t>
      </w:r>
      <w:r w:rsidRPr="00D00113">
        <w:rPr>
          <w:color w:val="000000" w:themeColor="text1"/>
          <w:sz w:val="20"/>
          <w:szCs w:val="18"/>
        </w:rPr>
        <w:t>perator.</w:t>
      </w:r>
    </w:p>
    <w:bookmarkEnd w:id="7"/>
    <w:p w14:paraId="14231808" w14:textId="0EF1D113" w:rsidR="00D00113" w:rsidRDefault="00D00113" w:rsidP="00AA18E8">
      <w:pPr>
        <w:pStyle w:val="ListParagraph"/>
        <w:numPr>
          <w:ilvl w:val="0"/>
          <w:numId w:val="34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Review </w:t>
      </w:r>
      <w:r w:rsidR="007D1C4D">
        <w:rPr>
          <w:color w:val="000000" w:themeColor="text1"/>
          <w:sz w:val="20"/>
          <w:szCs w:val="18"/>
        </w:rPr>
        <w:t>d</w:t>
      </w:r>
      <w:r w:rsidRPr="00D00113">
        <w:rPr>
          <w:color w:val="000000" w:themeColor="text1"/>
          <w:sz w:val="20"/>
          <w:szCs w:val="18"/>
        </w:rPr>
        <w:t xml:space="preserve">raft Risk Management Plan following receipt from </w:t>
      </w:r>
      <w:r w:rsidR="007D1C4D">
        <w:rPr>
          <w:color w:val="000000" w:themeColor="text1"/>
          <w:sz w:val="20"/>
          <w:szCs w:val="18"/>
        </w:rPr>
        <w:t>t</w:t>
      </w:r>
      <w:r w:rsidRPr="00D00113">
        <w:rPr>
          <w:color w:val="000000" w:themeColor="text1"/>
          <w:sz w:val="20"/>
          <w:szCs w:val="18"/>
        </w:rPr>
        <w:t xml:space="preserve">ransport </w:t>
      </w:r>
      <w:r w:rsidR="007D1C4D">
        <w:rPr>
          <w:color w:val="000000" w:themeColor="text1"/>
          <w:sz w:val="20"/>
          <w:szCs w:val="18"/>
        </w:rPr>
        <w:t>o</w:t>
      </w:r>
      <w:r w:rsidRPr="00D00113">
        <w:rPr>
          <w:color w:val="000000" w:themeColor="text1"/>
          <w:sz w:val="20"/>
          <w:szCs w:val="18"/>
        </w:rPr>
        <w:t>perator.</w:t>
      </w:r>
    </w:p>
    <w:p w14:paraId="54EF30DA" w14:textId="2C103ECA" w:rsidR="00D00113" w:rsidRDefault="00D00113" w:rsidP="00D00113">
      <w:pPr>
        <w:pStyle w:val="Smallorangetitle"/>
      </w:pPr>
      <w:r>
        <w:t xml:space="preserve">At least 1 month prior to any Superload movement, </w:t>
      </w:r>
      <w:r w:rsidR="00A23228">
        <w:t xml:space="preserve">the </w:t>
      </w:r>
      <w:r>
        <w:t xml:space="preserve">Department of Transport shall: </w:t>
      </w:r>
    </w:p>
    <w:p w14:paraId="67C5D422" w14:textId="52308FFA" w:rsidR="00D00113" w:rsidRPr="00D00113" w:rsidRDefault="00D00113" w:rsidP="00AA18E8">
      <w:pPr>
        <w:pStyle w:val="ListParagraph"/>
        <w:numPr>
          <w:ilvl w:val="0"/>
          <w:numId w:val="35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Request NHVR to nominate NHVR Safety and Compliance Officers </w:t>
      </w:r>
      <w:r w:rsidR="00295C41" w:rsidRPr="00D00113">
        <w:rPr>
          <w:color w:val="000000" w:themeColor="text1"/>
          <w:sz w:val="20"/>
          <w:szCs w:val="18"/>
        </w:rPr>
        <w:t>(</w:t>
      </w:r>
      <w:r w:rsidR="00295C41">
        <w:rPr>
          <w:color w:val="000000" w:themeColor="text1"/>
          <w:sz w:val="20"/>
          <w:szCs w:val="18"/>
        </w:rPr>
        <w:t>previously</w:t>
      </w:r>
      <w:r w:rsidR="00A23228" w:rsidRPr="00D00113">
        <w:rPr>
          <w:color w:val="000000" w:themeColor="text1"/>
          <w:sz w:val="20"/>
          <w:szCs w:val="18"/>
        </w:rPr>
        <w:t xml:space="preserve"> VicRoads</w:t>
      </w:r>
      <w:r w:rsidRPr="00D00113">
        <w:rPr>
          <w:color w:val="000000" w:themeColor="text1"/>
          <w:sz w:val="20"/>
          <w:szCs w:val="18"/>
        </w:rPr>
        <w:t xml:space="preserve"> Transport Safety Services) required to escort the Superload.</w:t>
      </w:r>
    </w:p>
    <w:p w14:paraId="2B67FF2F" w14:textId="42EB29B6" w:rsidR="00D00113" w:rsidRPr="00D00113" w:rsidRDefault="00D00113" w:rsidP="00AA18E8">
      <w:pPr>
        <w:pStyle w:val="ListParagraph"/>
        <w:numPr>
          <w:ilvl w:val="0"/>
          <w:numId w:val="35"/>
        </w:numPr>
        <w:rPr>
          <w:color w:val="000000" w:themeColor="text1"/>
          <w:sz w:val="20"/>
          <w:szCs w:val="18"/>
        </w:rPr>
      </w:pPr>
      <w:bookmarkStart w:id="8" w:name="_Hlk27647329"/>
      <w:r w:rsidRPr="00D00113">
        <w:rPr>
          <w:color w:val="000000" w:themeColor="text1"/>
          <w:sz w:val="20"/>
          <w:szCs w:val="18"/>
        </w:rPr>
        <w:t xml:space="preserve">Review </w:t>
      </w:r>
      <w:r w:rsidR="00FC1380">
        <w:rPr>
          <w:color w:val="000000" w:themeColor="text1"/>
          <w:sz w:val="20"/>
          <w:szCs w:val="18"/>
        </w:rPr>
        <w:t>f</w:t>
      </w:r>
      <w:r w:rsidRPr="00D00113">
        <w:rPr>
          <w:color w:val="000000" w:themeColor="text1"/>
          <w:sz w:val="20"/>
          <w:szCs w:val="18"/>
        </w:rPr>
        <w:t xml:space="preserve">inal Traffic Management Plan following receipt from </w:t>
      </w:r>
      <w:r w:rsidR="00FC1380">
        <w:rPr>
          <w:color w:val="000000" w:themeColor="text1"/>
          <w:sz w:val="20"/>
          <w:szCs w:val="18"/>
        </w:rPr>
        <w:t>t</w:t>
      </w:r>
      <w:r w:rsidRPr="00D00113">
        <w:rPr>
          <w:color w:val="000000" w:themeColor="text1"/>
          <w:sz w:val="20"/>
          <w:szCs w:val="18"/>
        </w:rPr>
        <w:t xml:space="preserve">ransport </w:t>
      </w:r>
      <w:r w:rsidR="00FC1380">
        <w:rPr>
          <w:color w:val="000000" w:themeColor="text1"/>
          <w:sz w:val="20"/>
          <w:szCs w:val="18"/>
        </w:rPr>
        <w:t>o</w:t>
      </w:r>
      <w:r w:rsidRPr="00D00113">
        <w:rPr>
          <w:color w:val="000000" w:themeColor="text1"/>
          <w:sz w:val="20"/>
          <w:szCs w:val="18"/>
        </w:rPr>
        <w:t>perator.</w:t>
      </w:r>
      <w:bookmarkEnd w:id="8"/>
    </w:p>
    <w:p w14:paraId="4FB577F4" w14:textId="2F75B26B" w:rsidR="00D00113" w:rsidRPr="00D00113" w:rsidRDefault="00D00113" w:rsidP="00AA18E8">
      <w:pPr>
        <w:pStyle w:val="ListParagraph"/>
        <w:numPr>
          <w:ilvl w:val="0"/>
          <w:numId w:val="35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Review </w:t>
      </w:r>
      <w:r w:rsidR="00FC1380">
        <w:rPr>
          <w:color w:val="000000" w:themeColor="text1"/>
          <w:sz w:val="20"/>
          <w:szCs w:val="18"/>
        </w:rPr>
        <w:t>f</w:t>
      </w:r>
      <w:r w:rsidRPr="00D00113">
        <w:rPr>
          <w:color w:val="000000" w:themeColor="text1"/>
          <w:sz w:val="20"/>
          <w:szCs w:val="18"/>
        </w:rPr>
        <w:t xml:space="preserve">inal Risk Management Plan following receipt from </w:t>
      </w:r>
      <w:r w:rsidR="00FC1380">
        <w:rPr>
          <w:color w:val="000000" w:themeColor="text1"/>
          <w:sz w:val="20"/>
          <w:szCs w:val="18"/>
        </w:rPr>
        <w:t>t</w:t>
      </w:r>
      <w:r w:rsidRPr="00D00113">
        <w:rPr>
          <w:color w:val="000000" w:themeColor="text1"/>
          <w:sz w:val="20"/>
          <w:szCs w:val="18"/>
        </w:rPr>
        <w:t xml:space="preserve">ransport </w:t>
      </w:r>
      <w:r w:rsidR="00FC1380">
        <w:rPr>
          <w:color w:val="000000" w:themeColor="text1"/>
          <w:sz w:val="20"/>
          <w:szCs w:val="18"/>
        </w:rPr>
        <w:t>o</w:t>
      </w:r>
      <w:r w:rsidRPr="00D00113">
        <w:rPr>
          <w:color w:val="000000" w:themeColor="text1"/>
          <w:sz w:val="20"/>
          <w:szCs w:val="18"/>
        </w:rPr>
        <w:t>perator.</w:t>
      </w:r>
    </w:p>
    <w:p w14:paraId="7FC7A939" w14:textId="50649E24" w:rsidR="00D00113" w:rsidRPr="00D00113" w:rsidRDefault="00D00113" w:rsidP="00AA18E8">
      <w:pPr>
        <w:pStyle w:val="ListParagraph"/>
        <w:numPr>
          <w:ilvl w:val="0"/>
          <w:numId w:val="35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Prepare </w:t>
      </w:r>
      <w:r w:rsidR="00FC1380">
        <w:rPr>
          <w:color w:val="000000" w:themeColor="text1"/>
          <w:sz w:val="20"/>
          <w:szCs w:val="18"/>
        </w:rPr>
        <w:t>d</w:t>
      </w:r>
      <w:r w:rsidRPr="00D00113">
        <w:rPr>
          <w:color w:val="000000" w:themeColor="text1"/>
          <w:sz w:val="20"/>
          <w:szCs w:val="18"/>
        </w:rPr>
        <w:t>raft Information Pack for use by stakeholders.</w:t>
      </w:r>
    </w:p>
    <w:p w14:paraId="24E4CDA5" w14:textId="376E1AC8" w:rsidR="00D00113" w:rsidRPr="00D00113" w:rsidRDefault="00D00113" w:rsidP="00AA18E8">
      <w:pPr>
        <w:pStyle w:val="ListParagraph"/>
        <w:numPr>
          <w:ilvl w:val="0"/>
          <w:numId w:val="35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Confirm that any propping or strengthening of structures completed either by </w:t>
      </w:r>
      <w:r w:rsidR="0037789F">
        <w:rPr>
          <w:color w:val="000000" w:themeColor="text1"/>
          <w:sz w:val="20"/>
          <w:szCs w:val="18"/>
        </w:rPr>
        <w:t>D</w:t>
      </w:r>
      <w:r w:rsidR="005A2536">
        <w:rPr>
          <w:color w:val="000000" w:themeColor="text1"/>
          <w:sz w:val="20"/>
          <w:szCs w:val="18"/>
        </w:rPr>
        <w:t>o</w:t>
      </w:r>
      <w:r w:rsidR="0037789F">
        <w:rPr>
          <w:color w:val="000000" w:themeColor="text1"/>
          <w:sz w:val="20"/>
          <w:szCs w:val="18"/>
        </w:rPr>
        <w:t>T</w:t>
      </w:r>
      <w:r w:rsidR="00A23228">
        <w:rPr>
          <w:color w:val="000000" w:themeColor="text1"/>
          <w:sz w:val="20"/>
          <w:szCs w:val="18"/>
        </w:rPr>
        <w:t xml:space="preserve"> </w:t>
      </w:r>
      <w:r w:rsidRPr="00D00113">
        <w:rPr>
          <w:color w:val="000000" w:themeColor="text1"/>
          <w:sz w:val="20"/>
          <w:szCs w:val="18"/>
        </w:rPr>
        <w:t xml:space="preserve">or under their instruction has been satisfactorily completed. </w:t>
      </w:r>
    </w:p>
    <w:p w14:paraId="2FEC7DE6" w14:textId="5A27B83D" w:rsidR="00D00113" w:rsidRDefault="00D00113" w:rsidP="00D00113">
      <w:pPr>
        <w:pStyle w:val="Smallorangetitle"/>
      </w:pPr>
      <w:r>
        <w:t xml:space="preserve">At least 2 weeks prior to any Superload movement, Department of Transport shall: </w:t>
      </w:r>
    </w:p>
    <w:p w14:paraId="07EA74F4" w14:textId="77777777" w:rsidR="00D00113" w:rsidRPr="00D00113" w:rsidRDefault="00D00113" w:rsidP="00AA18E8">
      <w:pPr>
        <w:pStyle w:val="ListParagraph"/>
        <w:numPr>
          <w:ilvl w:val="0"/>
          <w:numId w:val="36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>Complete pre-journey inspections of all structures and other infrastructure assets impacted by the proposed move.</w:t>
      </w:r>
    </w:p>
    <w:p w14:paraId="489578FA" w14:textId="37CB0AD2" w:rsidR="00D00113" w:rsidRPr="00D00113" w:rsidRDefault="00D00113" w:rsidP="00AA18E8">
      <w:pPr>
        <w:pStyle w:val="ListParagraph"/>
        <w:numPr>
          <w:ilvl w:val="0"/>
          <w:numId w:val="36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Issue disruption management alerts to the public via </w:t>
      </w:r>
      <w:r w:rsidR="0037789F">
        <w:rPr>
          <w:color w:val="000000" w:themeColor="text1"/>
          <w:sz w:val="20"/>
          <w:szCs w:val="18"/>
        </w:rPr>
        <w:t>D</w:t>
      </w:r>
      <w:r w:rsidR="005A2536">
        <w:rPr>
          <w:color w:val="000000" w:themeColor="text1"/>
          <w:sz w:val="20"/>
          <w:szCs w:val="18"/>
        </w:rPr>
        <w:t>o</w:t>
      </w:r>
      <w:r w:rsidR="0037789F">
        <w:rPr>
          <w:color w:val="000000" w:themeColor="text1"/>
          <w:sz w:val="20"/>
          <w:szCs w:val="18"/>
        </w:rPr>
        <w:t>T</w:t>
      </w:r>
      <w:r w:rsidRPr="00D00113">
        <w:rPr>
          <w:color w:val="000000" w:themeColor="text1"/>
          <w:sz w:val="20"/>
          <w:szCs w:val="18"/>
        </w:rPr>
        <w:t xml:space="preserve"> networks.</w:t>
      </w:r>
    </w:p>
    <w:p w14:paraId="294EDB79" w14:textId="77777777" w:rsidR="00D00113" w:rsidRPr="00D00113" w:rsidRDefault="00D00113" w:rsidP="00AA18E8">
      <w:pPr>
        <w:pStyle w:val="ListParagraph"/>
        <w:numPr>
          <w:ilvl w:val="0"/>
          <w:numId w:val="36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Complete line-marking of structures where required including any travel-line and steel plating marking guides. </w:t>
      </w:r>
    </w:p>
    <w:p w14:paraId="514683D4" w14:textId="513DEA47" w:rsidR="00D00113" w:rsidRPr="00D00113" w:rsidRDefault="00D00113" w:rsidP="00AA18E8">
      <w:pPr>
        <w:pStyle w:val="ListParagraph"/>
        <w:numPr>
          <w:ilvl w:val="0"/>
          <w:numId w:val="36"/>
        </w:numPr>
        <w:rPr>
          <w:color w:val="000000" w:themeColor="text1"/>
          <w:sz w:val="20"/>
          <w:szCs w:val="18"/>
        </w:rPr>
      </w:pPr>
      <w:r w:rsidRPr="00D00113">
        <w:rPr>
          <w:color w:val="000000" w:themeColor="text1"/>
          <w:sz w:val="20"/>
          <w:szCs w:val="18"/>
        </w:rPr>
        <w:t xml:space="preserve">Issue </w:t>
      </w:r>
      <w:r w:rsidR="008D73F6">
        <w:rPr>
          <w:color w:val="000000" w:themeColor="text1"/>
          <w:sz w:val="20"/>
          <w:szCs w:val="18"/>
        </w:rPr>
        <w:t>f</w:t>
      </w:r>
      <w:r w:rsidRPr="00D00113">
        <w:rPr>
          <w:color w:val="000000" w:themeColor="text1"/>
          <w:sz w:val="20"/>
          <w:szCs w:val="18"/>
        </w:rPr>
        <w:t>inal Information Pack for use by stakeholders</w:t>
      </w:r>
      <w:r>
        <w:rPr>
          <w:color w:val="000000" w:themeColor="text1"/>
          <w:sz w:val="20"/>
          <w:szCs w:val="18"/>
        </w:rPr>
        <w:t xml:space="preserve">. </w:t>
      </w:r>
    </w:p>
    <w:p w14:paraId="441FD2C7" w14:textId="77777777" w:rsidR="00291860" w:rsidRDefault="00291860" w:rsidP="00714E9E">
      <w:pPr>
        <w:pStyle w:val="Smallorangetitle"/>
      </w:pPr>
    </w:p>
    <w:p w14:paraId="761DBF2B" w14:textId="77777777" w:rsidR="00291860" w:rsidRDefault="00291860" w:rsidP="00714E9E">
      <w:pPr>
        <w:pStyle w:val="Smallorangetitle"/>
      </w:pPr>
    </w:p>
    <w:p w14:paraId="6D4BD13F" w14:textId="77777777" w:rsidR="0014386F" w:rsidRDefault="0014386F" w:rsidP="00714E9E">
      <w:pPr>
        <w:pStyle w:val="Smallorangetitle"/>
      </w:pPr>
    </w:p>
    <w:p w14:paraId="5EC765BA" w14:textId="32366EF7" w:rsidR="00714E9E" w:rsidRDefault="00714E9E" w:rsidP="00714E9E">
      <w:pPr>
        <w:pStyle w:val="Smallorangetitle"/>
      </w:pPr>
      <w:r>
        <w:t xml:space="preserve">After completion of any Superload movement, </w:t>
      </w:r>
      <w:r w:rsidR="00A23228">
        <w:t>the Department of Transport</w:t>
      </w:r>
      <w:r>
        <w:t xml:space="preserve"> shall: </w:t>
      </w:r>
    </w:p>
    <w:p w14:paraId="10830CB3" w14:textId="20CDCC79" w:rsidR="00714E9E" w:rsidRPr="00714E9E" w:rsidRDefault="00714E9E" w:rsidP="00AA18E8">
      <w:pPr>
        <w:pStyle w:val="ListParagraph"/>
        <w:numPr>
          <w:ilvl w:val="0"/>
          <w:numId w:val="37"/>
        </w:numPr>
        <w:rPr>
          <w:color w:val="000000" w:themeColor="text1"/>
          <w:sz w:val="20"/>
          <w:szCs w:val="18"/>
        </w:rPr>
      </w:pPr>
      <w:r w:rsidRPr="00714E9E">
        <w:rPr>
          <w:color w:val="000000" w:themeColor="text1"/>
          <w:sz w:val="20"/>
          <w:szCs w:val="18"/>
        </w:rPr>
        <w:t>Complete review of overall project with key stakeholders in order to identify any learnings and improvement opportunities for any similar future Superload moves.</w:t>
      </w:r>
    </w:p>
    <w:p w14:paraId="0E8AE128" w14:textId="77777777" w:rsidR="00714E9E" w:rsidRPr="00714E9E" w:rsidRDefault="00714E9E" w:rsidP="00AA18E8">
      <w:pPr>
        <w:pStyle w:val="ListParagraph"/>
        <w:numPr>
          <w:ilvl w:val="0"/>
          <w:numId w:val="37"/>
        </w:numPr>
        <w:rPr>
          <w:color w:val="000000" w:themeColor="text1"/>
          <w:sz w:val="20"/>
          <w:szCs w:val="18"/>
        </w:rPr>
      </w:pPr>
      <w:r w:rsidRPr="00714E9E">
        <w:rPr>
          <w:color w:val="000000" w:themeColor="text1"/>
          <w:sz w:val="20"/>
          <w:szCs w:val="18"/>
        </w:rPr>
        <w:t xml:space="preserve">Complete post-journey inspections of all structures and other infrastructure assets impacted by the move. </w:t>
      </w:r>
    </w:p>
    <w:p w14:paraId="22968443" w14:textId="479C5651" w:rsidR="00714E9E" w:rsidRPr="00714E9E" w:rsidRDefault="00714E9E" w:rsidP="00AA18E8">
      <w:pPr>
        <w:pStyle w:val="ListParagraph"/>
        <w:numPr>
          <w:ilvl w:val="0"/>
          <w:numId w:val="37"/>
        </w:numPr>
        <w:rPr>
          <w:color w:val="000000" w:themeColor="text1"/>
          <w:sz w:val="20"/>
          <w:szCs w:val="18"/>
        </w:rPr>
      </w:pPr>
      <w:r w:rsidRPr="00714E9E">
        <w:rPr>
          <w:color w:val="000000" w:themeColor="text1"/>
          <w:sz w:val="20"/>
          <w:szCs w:val="18"/>
        </w:rPr>
        <w:t xml:space="preserve">Advise </w:t>
      </w:r>
      <w:r w:rsidR="003154CF">
        <w:rPr>
          <w:color w:val="000000" w:themeColor="text1"/>
          <w:sz w:val="20"/>
          <w:szCs w:val="18"/>
        </w:rPr>
        <w:t>p</w:t>
      </w:r>
      <w:r w:rsidRPr="00714E9E">
        <w:rPr>
          <w:color w:val="000000" w:themeColor="text1"/>
          <w:sz w:val="20"/>
          <w:szCs w:val="18"/>
        </w:rPr>
        <w:t xml:space="preserve">roject </w:t>
      </w:r>
      <w:r w:rsidR="003154CF">
        <w:rPr>
          <w:color w:val="000000" w:themeColor="text1"/>
          <w:sz w:val="20"/>
          <w:szCs w:val="18"/>
        </w:rPr>
        <w:t>o</w:t>
      </w:r>
      <w:r w:rsidRPr="00714E9E">
        <w:rPr>
          <w:color w:val="000000" w:themeColor="text1"/>
          <w:sz w:val="20"/>
          <w:szCs w:val="18"/>
        </w:rPr>
        <w:t xml:space="preserve">wner of any damage to structures or other infrastructure assets identified following the move, then issue invoice to </w:t>
      </w:r>
      <w:r w:rsidR="003154CF">
        <w:rPr>
          <w:color w:val="000000" w:themeColor="text1"/>
          <w:sz w:val="20"/>
          <w:szCs w:val="18"/>
        </w:rPr>
        <w:t>p</w:t>
      </w:r>
      <w:r w:rsidRPr="00714E9E">
        <w:rPr>
          <w:color w:val="000000" w:themeColor="text1"/>
          <w:sz w:val="20"/>
          <w:szCs w:val="18"/>
        </w:rPr>
        <w:t xml:space="preserve">roject </w:t>
      </w:r>
      <w:r w:rsidR="003154CF">
        <w:rPr>
          <w:color w:val="000000" w:themeColor="text1"/>
          <w:sz w:val="20"/>
          <w:szCs w:val="18"/>
        </w:rPr>
        <w:t>o</w:t>
      </w:r>
      <w:r w:rsidRPr="00714E9E">
        <w:rPr>
          <w:color w:val="000000" w:themeColor="text1"/>
          <w:sz w:val="20"/>
          <w:szCs w:val="18"/>
        </w:rPr>
        <w:t xml:space="preserve">wner for all rectification costs.  </w:t>
      </w:r>
    </w:p>
    <w:p w14:paraId="43E27F9C" w14:textId="0E4C04BC" w:rsidR="00714E9E" w:rsidRDefault="00714E9E" w:rsidP="00714E9E">
      <w:pPr>
        <w:pStyle w:val="Heading2"/>
      </w:pPr>
      <w:bookmarkStart w:id="9" w:name="_Toc31200177"/>
      <w:r>
        <w:t xml:space="preserve">National Heavy Vehicle Regulator </w:t>
      </w:r>
      <w:r w:rsidR="00A23228">
        <w:t>r</w:t>
      </w:r>
      <w:r>
        <w:t>equirements:</w:t>
      </w:r>
      <w:bookmarkEnd w:id="9"/>
      <w:r>
        <w:t xml:space="preserve"> </w:t>
      </w:r>
    </w:p>
    <w:p w14:paraId="04943BC1" w14:textId="155E5580" w:rsidR="00714E9E" w:rsidRDefault="00714E9E" w:rsidP="00714E9E">
      <w:pPr>
        <w:pStyle w:val="Smallorangetitle"/>
      </w:pPr>
      <w:r>
        <w:t xml:space="preserve">At least 1 month prior to a Superload movement, </w:t>
      </w:r>
      <w:r w:rsidR="00A23228">
        <w:t>National Heavy Vehicle Regulator</w:t>
      </w:r>
      <w:r>
        <w:t xml:space="preserve"> shall: </w:t>
      </w:r>
    </w:p>
    <w:p w14:paraId="2EC0A0F3" w14:textId="77777777" w:rsidR="00714E9E" w:rsidRPr="00714E9E" w:rsidRDefault="00714E9E" w:rsidP="009B25A9">
      <w:pPr>
        <w:pStyle w:val="ListParagraph"/>
        <w:numPr>
          <w:ilvl w:val="0"/>
          <w:numId w:val="30"/>
        </w:numPr>
        <w:rPr>
          <w:color w:val="000000" w:themeColor="text1"/>
          <w:sz w:val="20"/>
          <w:szCs w:val="18"/>
        </w:rPr>
      </w:pPr>
      <w:r w:rsidRPr="00714E9E">
        <w:rPr>
          <w:color w:val="000000" w:themeColor="text1"/>
          <w:sz w:val="20"/>
          <w:szCs w:val="18"/>
        </w:rPr>
        <w:t>Issue NHVR Permit outlining conditions of travel.</w:t>
      </w:r>
    </w:p>
    <w:p w14:paraId="2EEB4ADE" w14:textId="5F02C1A0" w:rsidR="00714E9E" w:rsidRPr="00714E9E" w:rsidRDefault="00714E9E" w:rsidP="00AA18E8">
      <w:pPr>
        <w:pStyle w:val="ListParagraph"/>
        <w:numPr>
          <w:ilvl w:val="0"/>
          <w:numId w:val="31"/>
        </w:numPr>
        <w:rPr>
          <w:color w:val="000000" w:themeColor="text1"/>
          <w:sz w:val="20"/>
          <w:szCs w:val="18"/>
        </w:rPr>
      </w:pPr>
      <w:r w:rsidRPr="00714E9E">
        <w:rPr>
          <w:color w:val="000000" w:themeColor="text1"/>
          <w:sz w:val="20"/>
          <w:szCs w:val="18"/>
        </w:rPr>
        <w:t xml:space="preserve">Provide </w:t>
      </w:r>
      <w:r w:rsidR="0037789F">
        <w:rPr>
          <w:color w:val="000000" w:themeColor="text1"/>
          <w:sz w:val="20"/>
          <w:szCs w:val="18"/>
        </w:rPr>
        <w:t>D</w:t>
      </w:r>
      <w:r w:rsidR="005A2536">
        <w:rPr>
          <w:color w:val="000000" w:themeColor="text1"/>
          <w:sz w:val="20"/>
          <w:szCs w:val="18"/>
        </w:rPr>
        <w:t>o</w:t>
      </w:r>
      <w:r w:rsidR="0037789F">
        <w:rPr>
          <w:color w:val="000000" w:themeColor="text1"/>
          <w:sz w:val="20"/>
          <w:szCs w:val="18"/>
        </w:rPr>
        <w:t>T</w:t>
      </w:r>
      <w:r w:rsidRPr="00714E9E">
        <w:rPr>
          <w:color w:val="000000" w:themeColor="text1"/>
          <w:sz w:val="20"/>
          <w:szCs w:val="18"/>
        </w:rPr>
        <w:t xml:space="preserve"> with details of nominated NHVR Safety and Compliance Officers (</w:t>
      </w:r>
      <w:r w:rsidR="00DD2DCB">
        <w:rPr>
          <w:color w:val="000000" w:themeColor="text1"/>
          <w:sz w:val="20"/>
          <w:szCs w:val="18"/>
        </w:rPr>
        <w:t>previously</w:t>
      </w:r>
      <w:r w:rsidRPr="00714E9E">
        <w:rPr>
          <w:color w:val="000000" w:themeColor="text1"/>
          <w:sz w:val="20"/>
          <w:szCs w:val="18"/>
        </w:rPr>
        <w:t xml:space="preserve"> VicRoads Transport Safety Services) that will be escorting the Superload.</w:t>
      </w:r>
    </w:p>
    <w:p w14:paraId="717CEA43" w14:textId="77777777" w:rsidR="00714E9E" w:rsidRPr="00D00113" w:rsidRDefault="00714E9E" w:rsidP="00714E9E">
      <w:pPr>
        <w:pStyle w:val="ListParagraph"/>
        <w:ind w:left="360"/>
        <w:rPr>
          <w:color w:val="000000" w:themeColor="text1"/>
          <w:sz w:val="20"/>
          <w:szCs w:val="18"/>
        </w:rPr>
      </w:pPr>
    </w:p>
    <w:p w14:paraId="0BA86479" w14:textId="77777777" w:rsidR="00A94F42" w:rsidRDefault="00A94F42" w:rsidP="00A94F42"/>
    <w:p w14:paraId="7FC835CF" w14:textId="6A844A1A" w:rsidR="00866AC3" w:rsidRPr="0000420B" w:rsidRDefault="00866AC3" w:rsidP="004E6414">
      <w:pPr>
        <w:pStyle w:val="Tablecopy"/>
      </w:pPr>
    </w:p>
    <w:sectPr w:rsidR="00866AC3" w:rsidRPr="0000420B" w:rsidSect="00D63519">
      <w:headerReference w:type="default" r:id="rId17"/>
      <w:pgSz w:w="11900" w:h="16840"/>
      <w:pgMar w:top="1497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9673" w14:textId="77777777" w:rsidR="00DC42E4" w:rsidRDefault="00DC42E4" w:rsidP="004E6414">
      <w:r>
        <w:separator/>
      </w:r>
    </w:p>
  </w:endnote>
  <w:endnote w:type="continuationSeparator" w:id="0">
    <w:p w14:paraId="05C138F5" w14:textId="77777777" w:rsidR="00DC42E4" w:rsidRDefault="00DC42E4" w:rsidP="004E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Arial (Body)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1677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997AF" w14:textId="1E87A673" w:rsidR="00526AD0" w:rsidRDefault="00526AD0" w:rsidP="00651D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FA99AA" w14:textId="6690A6AE" w:rsidR="0054296E" w:rsidRDefault="0054296E" w:rsidP="00526AD0">
    <w:pPr>
      <w:pStyle w:val="Footer"/>
      <w:ind w:right="360"/>
      <w:rPr>
        <w:rStyle w:val="PageNumber"/>
      </w:rPr>
    </w:pPr>
  </w:p>
  <w:p w14:paraId="55C7D8DC" w14:textId="77777777" w:rsidR="00C62583" w:rsidRDefault="00C62583" w:rsidP="004E6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562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3ECB46" w14:textId="77777777" w:rsidR="00411998" w:rsidRDefault="00411998">
            <w:pPr>
              <w:pStyle w:val="Footer"/>
              <w:jc w:val="right"/>
            </w:pPr>
          </w:p>
          <w:p w14:paraId="242F2B54" w14:textId="3B9D0BF4" w:rsidR="00411998" w:rsidRDefault="00411998" w:rsidP="00411998">
            <w:pPr>
              <w:pStyle w:val="Footer"/>
            </w:pPr>
            <w:r>
              <w:t>Superload Checklist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C7F9C9" w14:textId="2BBD9CA5" w:rsidR="00BE1DA0" w:rsidRPr="00BE1DA0" w:rsidRDefault="00BE1DA0" w:rsidP="00526AD0">
    <w:pPr>
      <w:pStyle w:val="Footer"/>
      <w:tabs>
        <w:tab w:val="clear" w:pos="46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6AEF8" w14:textId="77777777" w:rsidR="00DC42E4" w:rsidRDefault="00DC42E4" w:rsidP="004E6414">
      <w:r>
        <w:separator/>
      </w:r>
    </w:p>
  </w:footnote>
  <w:footnote w:type="continuationSeparator" w:id="0">
    <w:p w14:paraId="144303A4" w14:textId="77777777" w:rsidR="00DC42E4" w:rsidRDefault="00DC42E4" w:rsidP="004E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5DD" w14:textId="2D3EB22C" w:rsidR="008F6B7D" w:rsidRPr="00F316F8" w:rsidRDefault="00E16789" w:rsidP="004E641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9461335" wp14:editId="470B00C7">
          <wp:simplePos x="0" y="0"/>
          <wp:positionH relativeFrom="column">
            <wp:posOffset>-914400</wp:posOffset>
          </wp:positionH>
          <wp:positionV relativeFrom="paragraph">
            <wp:posOffset>-278541</wp:posOffset>
          </wp:positionV>
          <wp:extent cx="7573702" cy="774685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3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72"/>
                  <a:stretch/>
                </pic:blipFill>
                <pic:spPr bwMode="auto">
                  <a:xfrm>
                    <a:off x="0" y="0"/>
                    <a:ext cx="7573702" cy="77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8666" w14:textId="16219BD3" w:rsidR="0089065D" w:rsidRDefault="0089065D">
    <w:pPr>
      <w:pStyle w:val="Header"/>
    </w:pPr>
    <w:r>
      <w:rPr>
        <w:noProof/>
      </w:rPr>
      <w:drawing>
        <wp:anchor distT="0" distB="0" distL="114300" distR="114300" simplePos="0" relativeHeight="251663357" behindDoc="1" locked="0" layoutInCell="1" allowOverlap="1" wp14:anchorId="2263A57A" wp14:editId="55416DE2">
          <wp:simplePos x="0" y="0"/>
          <wp:positionH relativeFrom="column">
            <wp:posOffset>-898635</wp:posOffset>
          </wp:positionH>
          <wp:positionV relativeFrom="paragraph">
            <wp:posOffset>-276531</wp:posOffset>
          </wp:positionV>
          <wp:extent cx="7543695" cy="10675545"/>
          <wp:effectExtent l="0" t="0" r="63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r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95" cy="1067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DCD0" w14:textId="56DF7342" w:rsidR="000F4FC9" w:rsidRPr="00F316F8" w:rsidRDefault="007919B9" w:rsidP="004E641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5558F4E" wp14:editId="35D978EA">
          <wp:simplePos x="0" y="0"/>
          <wp:positionH relativeFrom="column">
            <wp:posOffset>-914400</wp:posOffset>
          </wp:positionH>
          <wp:positionV relativeFrom="paragraph">
            <wp:posOffset>-278541</wp:posOffset>
          </wp:positionV>
          <wp:extent cx="7573702" cy="77468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3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72"/>
                  <a:stretch/>
                </pic:blipFill>
                <pic:spPr bwMode="auto">
                  <a:xfrm>
                    <a:off x="0" y="0"/>
                    <a:ext cx="7573702" cy="77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5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CF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2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3EF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3ED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CE52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B010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634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FA5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2C0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23BA7"/>
    <w:multiLevelType w:val="hybridMultilevel"/>
    <w:tmpl w:val="4D04207E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7C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DF79C4"/>
    <w:multiLevelType w:val="hybridMultilevel"/>
    <w:tmpl w:val="2D42B6EA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1D65E0"/>
    <w:multiLevelType w:val="hybridMultilevel"/>
    <w:tmpl w:val="4230B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41205E"/>
    <w:multiLevelType w:val="hybridMultilevel"/>
    <w:tmpl w:val="EE1AE7B6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7C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784DD1"/>
    <w:multiLevelType w:val="hybridMultilevel"/>
    <w:tmpl w:val="23DC3B94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D122D7"/>
    <w:multiLevelType w:val="hybridMultilevel"/>
    <w:tmpl w:val="7D00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45542"/>
    <w:multiLevelType w:val="hybridMultilevel"/>
    <w:tmpl w:val="05DE59D8"/>
    <w:lvl w:ilvl="0" w:tplc="FD7ABD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0190D"/>
    <w:multiLevelType w:val="hybridMultilevel"/>
    <w:tmpl w:val="7CBCC2AA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7C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D60056"/>
    <w:multiLevelType w:val="hybridMultilevel"/>
    <w:tmpl w:val="1C20615A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80B09"/>
    <w:multiLevelType w:val="hybridMultilevel"/>
    <w:tmpl w:val="322621AC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154B17"/>
    <w:multiLevelType w:val="hybridMultilevel"/>
    <w:tmpl w:val="CB1C91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6A5FF2"/>
    <w:multiLevelType w:val="hybridMultilevel"/>
    <w:tmpl w:val="0AE42FFE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2E4951"/>
    <w:multiLevelType w:val="hybridMultilevel"/>
    <w:tmpl w:val="E604E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916653"/>
    <w:multiLevelType w:val="hybridMultilevel"/>
    <w:tmpl w:val="D66222C4"/>
    <w:lvl w:ilvl="0" w:tplc="398E74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D0EED"/>
    <w:multiLevelType w:val="hybridMultilevel"/>
    <w:tmpl w:val="785CE370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96D2E"/>
    <w:multiLevelType w:val="hybridMultilevel"/>
    <w:tmpl w:val="C6CAD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7C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2E5349"/>
    <w:multiLevelType w:val="hybridMultilevel"/>
    <w:tmpl w:val="CEE49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453BC"/>
    <w:multiLevelType w:val="hybridMultilevel"/>
    <w:tmpl w:val="AE92A118"/>
    <w:lvl w:ilvl="0" w:tplc="7D28F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74395"/>
    <w:multiLevelType w:val="hybridMultilevel"/>
    <w:tmpl w:val="D6C2901C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7C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9323FF"/>
    <w:multiLevelType w:val="hybridMultilevel"/>
    <w:tmpl w:val="3CF88A2A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301DB0"/>
    <w:multiLevelType w:val="hybridMultilevel"/>
    <w:tmpl w:val="64D49D56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915687"/>
    <w:multiLevelType w:val="hybridMultilevel"/>
    <w:tmpl w:val="793ED25E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C092D"/>
    <w:multiLevelType w:val="hybridMultilevel"/>
    <w:tmpl w:val="544A1DE8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B759F9"/>
    <w:multiLevelType w:val="hybridMultilevel"/>
    <w:tmpl w:val="EED2A3B0"/>
    <w:lvl w:ilvl="0" w:tplc="FD7ABD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2B2EF2"/>
    <w:multiLevelType w:val="hybridMultilevel"/>
    <w:tmpl w:val="3712F82E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7"/>
  </w:num>
  <w:num w:numId="12">
    <w:abstractNumId w:val="23"/>
  </w:num>
  <w:num w:numId="13">
    <w:abstractNumId w:val="25"/>
  </w:num>
  <w:num w:numId="14">
    <w:abstractNumId w:val="9"/>
  </w:num>
  <w:num w:numId="15">
    <w:abstractNumId w:val="34"/>
  </w:num>
  <w:num w:numId="16">
    <w:abstractNumId w:val="12"/>
  </w:num>
  <w:num w:numId="17">
    <w:abstractNumId w:val="9"/>
  </w:num>
  <w:num w:numId="18">
    <w:abstractNumId w:val="15"/>
  </w:num>
  <w:num w:numId="19">
    <w:abstractNumId w:val="20"/>
  </w:num>
  <w:num w:numId="20">
    <w:abstractNumId w:val="22"/>
  </w:num>
  <w:num w:numId="21">
    <w:abstractNumId w:val="26"/>
  </w:num>
  <w:num w:numId="22">
    <w:abstractNumId w:val="16"/>
  </w:num>
  <w:num w:numId="23">
    <w:abstractNumId w:val="28"/>
  </w:num>
  <w:num w:numId="24">
    <w:abstractNumId w:val="13"/>
  </w:num>
  <w:num w:numId="25">
    <w:abstractNumId w:val="17"/>
  </w:num>
  <w:num w:numId="26">
    <w:abstractNumId w:val="10"/>
  </w:num>
  <w:num w:numId="27">
    <w:abstractNumId w:val="33"/>
  </w:num>
  <w:num w:numId="28">
    <w:abstractNumId w:val="19"/>
  </w:num>
  <w:num w:numId="29">
    <w:abstractNumId w:val="30"/>
  </w:num>
  <w:num w:numId="30">
    <w:abstractNumId w:val="32"/>
  </w:num>
  <w:num w:numId="31">
    <w:abstractNumId w:val="14"/>
  </w:num>
  <w:num w:numId="32">
    <w:abstractNumId w:val="21"/>
  </w:num>
  <w:num w:numId="33">
    <w:abstractNumId w:val="31"/>
  </w:num>
  <w:num w:numId="34">
    <w:abstractNumId w:val="24"/>
  </w:num>
  <w:num w:numId="35">
    <w:abstractNumId w:val="18"/>
  </w:num>
  <w:num w:numId="36">
    <w:abstractNumId w:val="2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D"/>
    <w:rsid w:val="00002C39"/>
    <w:rsid w:val="0000420B"/>
    <w:rsid w:val="00006BFB"/>
    <w:rsid w:val="000122A6"/>
    <w:rsid w:val="000173B9"/>
    <w:rsid w:val="00020E71"/>
    <w:rsid w:val="00037467"/>
    <w:rsid w:val="00040FDB"/>
    <w:rsid w:val="00050ED3"/>
    <w:rsid w:val="000517D0"/>
    <w:rsid w:val="0005385E"/>
    <w:rsid w:val="00066882"/>
    <w:rsid w:val="00070A78"/>
    <w:rsid w:val="00072168"/>
    <w:rsid w:val="0009258F"/>
    <w:rsid w:val="00094E8F"/>
    <w:rsid w:val="000B7E60"/>
    <w:rsid w:val="000C5E91"/>
    <w:rsid w:val="000D5F1A"/>
    <w:rsid w:val="000D6F4F"/>
    <w:rsid w:val="000E2E03"/>
    <w:rsid w:val="000F182E"/>
    <w:rsid w:val="000F21EB"/>
    <w:rsid w:val="000F4FC9"/>
    <w:rsid w:val="000F72B5"/>
    <w:rsid w:val="00100B98"/>
    <w:rsid w:val="00111FD4"/>
    <w:rsid w:val="00121A3F"/>
    <w:rsid w:val="00123324"/>
    <w:rsid w:val="001252C9"/>
    <w:rsid w:val="0013780A"/>
    <w:rsid w:val="001408BE"/>
    <w:rsid w:val="0014386F"/>
    <w:rsid w:val="00163F67"/>
    <w:rsid w:val="00172837"/>
    <w:rsid w:val="00173508"/>
    <w:rsid w:val="00173D41"/>
    <w:rsid w:val="0017682B"/>
    <w:rsid w:val="001835FA"/>
    <w:rsid w:val="00185054"/>
    <w:rsid w:val="00185817"/>
    <w:rsid w:val="001866B7"/>
    <w:rsid w:val="001A057E"/>
    <w:rsid w:val="001A1E4E"/>
    <w:rsid w:val="001A2CBD"/>
    <w:rsid w:val="001A46F6"/>
    <w:rsid w:val="001E186F"/>
    <w:rsid w:val="001E66E9"/>
    <w:rsid w:val="002024CE"/>
    <w:rsid w:val="00204795"/>
    <w:rsid w:val="00221A93"/>
    <w:rsid w:val="00235A9C"/>
    <w:rsid w:val="00247809"/>
    <w:rsid w:val="00260EE8"/>
    <w:rsid w:val="0026570D"/>
    <w:rsid w:val="00273326"/>
    <w:rsid w:val="00276C7F"/>
    <w:rsid w:val="002779CD"/>
    <w:rsid w:val="00281760"/>
    <w:rsid w:val="00281FB7"/>
    <w:rsid w:val="00287AE9"/>
    <w:rsid w:val="00291860"/>
    <w:rsid w:val="00295C41"/>
    <w:rsid w:val="002A1B97"/>
    <w:rsid w:val="002A1F48"/>
    <w:rsid w:val="002A22A5"/>
    <w:rsid w:val="002A6418"/>
    <w:rsid w:val="002C0865"/>
    <w:rsid w:val="002C5350"/>
    <w:rsid w:val="002C6743"/>
    <w:rsid w:val="002D41E8"/>
    <w:rsid w:val="003154CF"/>
    <w:rsid w:val="003305F8"/>
    <w:rsid w:val="00333BA4"/>
    <w:rsid w:val="00340FCC"/>
    <w:rsid w:val="00355363"/>
    <w:rsid w:val="00355D4C"/>
    <w:rsid w:val="00357D97"/>
    <w:rsid w:val="00374021"/>
    <w:rsid w:val="00375B7E"/>
    <w:rsid w:val="0037789F"/>
    <w:rsid w:val="00384A08"/>
    <w:rsid w:val="00385637"/>
    <w:rsid w:val="003901D5"/>
    <w:rsid w:val="003B6A40"/>
    <w:rsid w:val="003C1A2F"/>
    <w:rsid w:val="003E5339"/>
    <w:rsid w:val="003F39E2"/>
    <w:rsid w:val="003F5C95"/>
    <w:rsid w:val="00404498"/>
    <w:rsid w:val="00411998"/>
    <w:rsid w:val="00414E7D"/>
    <w:rsid w:val="00421F2C"/>
    <w:rsid w:val="00426495"/>
    <w:rsid w:val="00452D64"/>
    <w:rsid w:val="004824EC"/>
    <w:rsid w:val="00486721"/>
    <w:rsid w:val="0049316B"/>
    <w:rsid w:val="004A47E3"/>
    <w:rsid w:val="004B08FE"/>
    <w:rsid w:val="004B729C"/>
    <w:rsid w:val="004C534B"/>
    <w:rsid w:val="004C70DC"/>
    <w:rsid w:val="004D465F"/>
    <w:rsid w:val="004D4AE1"/>
    <w:rsid w:val="004E07F6"/>
    <w:rsid w:val="004E6414"/>
    <w:rsid w:val="005004ED"/>
    <w:rsid w:val="00510ECC"/>
    <w:rsid w:val="00523260"/>
    <w:rsid w:val="00526AD0"/>
    <w:rsid w:val="00535460"/>
    <w:rsid w:val="0054296E"/>
    <w:rsid w:val="00547D75"/>
    <w:rsid w:val="00550E52"/>
    <w:rsid w:val="00556AC6"/>
    <w:rsid w:val="00565635"/>
    <w:rsid w:val="00592140"/>
    <w:rsid w:val="005929A2"/>
    <w:rsid w:val="00593711"/>
    <w:rsid w:val="00595781"/>
    <w:rsid w:val="005A0201"/>
    <w:rsid w:val="005A2536"/>
    <w:rsid w:val="005B2CBD"/>
    <w:rsid w:val="005B7D9B"/>
    <w:rsid w:val="005D17B0"/>
    <w:rsid w:val="005D5428"/>
    <w:rsid w:val="005D7E0F"/>
    <w:rsid w:val="005F564A"/>
    <w:rsid w:val="00616299"/>
    <w:rsid w:val="00617C94"/>
    <w:rsid w:val="00627AEC"/>
    <w:rsid w:val="00634007"/>
    <w:rsid w:val="00642588"/>
    <w:rsid w:val="00646732"/>
    <w:rsid w:val="00653B98"/>
    <w:rsid w:val="006546FB"/>
    <w:rsid w:val="00673755"/>
    <w:rsid w:val="00682FA6"/>
    <w:rsid w:val="006945D7"/>
    <w:rsid w:val="00695B35"/>
    <w:rsid w:val="00695EA8"/>
    <w:rsid w:val="006A6AFD"/>
    <w:rsid w:val="006B2A39"/>
    <w:rsid w:val="006B3CB0"/>
    <w:rsid w:val="006B60C9"/>
    <w:rsid w:val="006C384C"/>
    <w:rsid w:val="006D3FAA"/>
    <w:rsid w:val="006D49CF"/>
    <w:rsid w:val="006D7191"/>
    <w:rsid w:val="006E04AB"/>
    <w:rsid w:val="006F2F29"/>
    <w:rsid w:val="0070039C"/>
    <w:rsid w:val="00700517"/>
    <w:rsid w:val="00701650"/>
    <w:rsid w:val="00702D75"/>
    <w:rsid w:val="00711BBB"/>
    <w:rsid w:val="0071289A"/>
    <w:rsid w:val="00714E9E"/>
    <w:rsid w:val="0071654A"/>
    <w:rsid w:val="00725320"/>
    <w:rsid w:val="00726B54"/>
    <w:rsid w:val="0073523A"/>
    <w:rsid w:val="00740440"/>
    <w:rsid w:val="007437C0"/>
    <w:rsid w:val="00752170"/>
    <w:rsid w:val="00752D4C"/>
    <w:rsid w:val="00754656"/>
    <w:rsid w:val="007600DC"/>
    <w:rsid w:val="007616CE"/>
    <w:rsid w:val="00763402"/>
    <w:rsid w:val="007822C3"/>
    <w:rsid w:val="007869EE"/>
    <w:rsid w:val="007919B9"/>
    <w:rsid w:val="00794D64"/>
    <w:rsid w:val="0079625A"/>
    <w:rsid w:val="007A251E"/>
    <w:rsid w:val="007B134F"/>
    <w:rsid w:val="007B48FB"/>
    <w:rsid w:val="007D0678"/>
    <w:rsid w:val="007D1C4D"/>
    <w:rsid w:val="007F1902"/>
    <w:rsid w:val="007F6A60"/>
    <w:rsid w:val="007F741E"/>
    <w:rsid w:val="007F76C2"/>
    <w:rsid w:val="008022CC"/>
    <w:rsid w:val="00810EA1"/>
    <w:rsid w:val="00811DA6"/>
    <w:rsid w:val="0082021F"/>
    <w:rsid w:val="00823C7F"/>
    <w:rsid w:val="00832D6C"/>
    <w:rsid w:val="0083780B"/>
    <w:rsid w:val="00837F31"/>
    <w:rsid w:val="00845BC2"/>
    <w:rsid w:val="00846EC6"/>
    <w:rsid w:val="00856A9E"/>
    <w:rsid w:val="00857B63"/>
    <w:rsid w:val="00863ED2"/>
    <w:rsid w:val="00865142"/>
    <w:rsid w:val="00866AC3"/>
    <w:rsid w:val="0089065D"/>
    <w:rsid w:val="008918F9"/>
    <w:rsid w:val="008923DF"/>
    <w:rsid w:val="00895B46"/>
    <w:rsid w:val="008C015D"/>
    <w:rsid w:val="008C7B12"/>
    <w:rsid w:val="008D73F6"/>
    <w:rsid w:val="008E7F26"/>
    <w:rsid w:val="008F007A"/>
    <w:rsid w:val="008F5C04"/>
    <w:rsid w:val="008F6B7D"/>
    <w:rsid w:val="00905DC8"/>
    <w:rsid w:val="00912998"/>
    <w:rsid w:val="0092101A"/>
    <w:rsid w:val="009305CC"/>
    <w:rsid w:val="009310D3"/>
    <w:rsid w:val="009315A1"/>
    <w:rsid w:val="00940409"/>
    <w:rsid w:val="0094710D"/>
    <w:rsid w:val="00955522"/>
    <w:rsid w:val="00977864"/>
    <w:rsid w:val="00985DFB"/>
    <w:rsid w:val="009877EB"/>
    <w:rsid w:val="009A17F5"/>
    <w:rsid w:val="009A4C9B"/>
    <w:rsid w:val="009A5E54"/>
    <w:rsid w:val="009B1A69"/>
    <w:rsid w:val="009B25A9"/>
    <w:rsid w:val="009B645E"/>
    <w:rsid w:val="009C67AF"/>
    <w:rsid w:val="009D7E3F"/>
    <w:rsid w:val="009D7FF3"/>
    <w:rsid w:val="009F0FE1"/>
    <w:rsid w:val="00A005EF"/>
    <w:rsid w:val="00A06F9A"/>
    <w:rsid w:val="00A23228"/>
    <w:rsid w:val="00A31898"/>
    <w:rsid w:val="00A36BFD"/>
    <w:rsid w:val="00A378FB"/>
    <w:rsid w:val="00A40E42"/>
    <w:rsid w:val="00A5041B"/>
    <w:rsid w:val="00A5493A"/>
    <w:rsid w:val="00A674F1"/>
    <w:rsid w:val="00A70291"/>
    <w:rsid w:val="00A749DC"/>
    <w:rsid w:val="00A86468"/>
    <w:rsid w:val="00A932EB"/>
    <w:rsid w:val="00A94F42"/>
    <w:rsid w:val="00AA18E8"/>
    <w:rsid w:val="00AB429A"/>
    <w:rsid w:val="00AC25AC"/>
    <w:rsid w:val="00AC6272"/>
    <w:rsid w:val="00AC668B"/>
    <w:rsid w:val="00AD760A"/>
    <w:rsid w:val="00AE27E5"/>
    <w:rsid w:val="00AE3F04"/>
    <w:rsid w:val="00AF7E76"/>
    <w:rsid w:val="00B12F9B"/>
    <w:rsid w:val="00B162E7"/>
    <w:rsid w:val="00B201C7"/>
    <w:rsid w:val="00B2256F"/>
    <w:rsid w:val="00B34216"/>
    <w:rsid w:val="00B3468D"/>
    <w:rsid w:val="00B46CA5"/>
    <w:rsid w:val="00B47E2E"/>
    <w:rsid w:val="00B627B1"/>
    <w:rsid w:val="00B73467"/>
    <w:rsid w:val="00B809FD"/>
    <w:rsid w:val="00B815D4"/>
    <w:rsid w:val="00B86536"/>
    <w:rsid w:val="00B93B5C"/>
    <w:rsid w:val="00BA348C"/>
    <w:rsid w:val="00BA371A"/>
    <w:rsid w:val="00BB2240"/>
    <w:rsid w:val="00BB3556"/>
    <w:rsid w:val="00BB4E00"/>
    <w:rsid w:val="00BC30AC"/>
    <w:rsid w:val="00BC409F"/>
    <w:rsid w:val="00BD0ADD"/>
    <w:rsid w:val="00BE1DA0"/>
    <w:rsid w:val="00BE4F67"/>
    <w:rsid w:val="00BF2E28"/>
    <w:rsid w:val="00BF396D"/>
    <w:rsid w:val="00C040FD"/>
    <w:rsid w:val="00C108D7"/>
    <w:rsid w:val="00C15765"/>
    <w:rsid w:val="00C1579C"/>
    <w:rsid w:val="00C16540"/>
    <w:rsid w:val="00C20D62"/>
    <w:rsid w:val="00C22A74"/>
    <w:rsid w:val="00C25F9D"/>
    <w:rsid w:val="00C30715"/>
    <w:rsid w:val="00C42B58"/>
    <w:rsid w:val="00C62583"/>
    <w:rsid w:val="00C6513A"/>
    <w:rsid w:val="00C665EA"/>
    <w:rsid w:val="00C76317"/>
    <w:rsid w:val="00C81DD4"/>
    <w:rsid w:val="00C85151"/>
    <w:rsid w:val="00C87364"/>
    <w:rsid w:val="00CA0E8F"/>
    <w:rsid w:val="00CA58BD"/>
    <w:rsid w:val="00CC513E"/>
    <w:rsid w:val="00CD1C0B"/>
    <w:rsid w:val="00CD284F"/>
    <w:rsid w:val="00CE1109"/>
    <w:rsid w:val="00CF17D3"/>
    <w:rsid w:val="00CF40C8"/>
    <w:rsid w:val="00CF4F77"/>
    <w:rsid w:val="00D00113"/>
    <w:rsid w:val="00D04EA5"/>
    <w:rsid w:val="00D05053"/>
    <w:rsid w:val="00D0683A"/>
    <w:rsid w:val="00D06C0D"/>
    <w:rsid w:val="00D25E98"/>
    <w:rsid w:val="00D422C8"/>
    <w:rsid w:val="00D50ABA"/>
    <w:rsid w:val="00D536F4"/>
    <w:rsid w:val="00D55EE9"/>
    <w:rsid w:val="00D60555"/>
    <w:rsid w:val="00D63519"/>
    <w:rsid w:val="00D646A2"/>
    <w:rsid w:val="00D84648"/>
    <w:rsid w:val="00D87298"/>
    <w:rsid w:val="00DB0325"/>
    <w:rsid w:val="00DB1F93"/>
    <w:rsid w:val="00DC32B4"/>
    <w:rsid w:val="00DC42E4"/>
    <w:rsid w:val="00DD2DCB"/>
    <w:rsid w:val="00DE149B"/>
    <w:rsid w:val="00DE3833"/>
    <w:rsid w:val="00DF421F"/>
    <w:rsid w:val="00E0278A"/>
    <w:rsid w:val="00E129FA"/>
    <w:rsid w:val="00E16789"/>
    <w:rsid w:val="00E2366E"/>
    <w:rsid w:val="00E40C29"/>
    <w:rsid w:val="00E45E7B"/>
    <w:rsid w:val="00E479CF"/>
    <w:rsid w:val="00E753CB"/>
    <w:rsid w:val="00E775CF"/>
    <w:rsid w:val="00E81080"/>
    <w:rsid w:val="00E85633"/>
    <w:rsid w:val="00EA38B2"/>
    <w:rsid w:val="00EA5968"/>
    <w:rsid w:val="00EB2EA5"/>
    <w:rsid w:val="00EC715D"/>
    <w:rsid w:val="00EC77BD"/>
    <w:rsid w:val="00ED4201"/>
    <w:rsid w:val="00ED4E8B"/>
    <w:rsid w:val="00EE59B9"/>
    <w:rsid w:val="00EF29C3"/>
    <w:rsid w:val="00EF7AB0"/>
    <w:rsid w:val="00F000FE"/>
    <w:rsid w:val="00F012C1"/>
    <w:rsid w:val="00F02741"/>
    <w:rsid w:val="00F03277"/>
    <w:rsid w:val="00F07E24"/>
    <w:rsid w:val="00F133A5"/>
    <w:rsid w:val="00F218CC"/>
    <w:rsid w:val="00F316F8"/>
    <w:rsid w:val="00F57B88"/>
    <w:rsid w:val="00F84D63"/>
    <w:rsid w:val="00FA50FE"/>
    <w:rsid w:val="00FB21F3"/>
    <w:rsid w:val="00FC0097"/>
    <w:rsid w:val="00FC1380"/>
    <w:rsid w:val="00FD7CA9"/>
    <w:rsid w:val="00FE0D7E"/>
    <w:rsid w:val="00FE4FE3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1B898A"/>
  <w15:chartTrackingRefBased/>
  <w15:docId w15:val="{2592B7C6-A335-5D4B-A6FF-01A6A2A0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4E6414"/>
    <w:pPr>
      <w:spacing w:before="160" w:after="160"/>
    </w:pPr>
    <w:rPr>
      <w:color w:val="000000" w:themeColor="text1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A3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16A3A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414"/>
    <w:pPr>
      <w:spacing w:before="400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902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595959" w:themeColor="text1" w:themeTint="A6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1902"/>
    <w:pPr>
      <w:spacing w:before="2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1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19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19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copy">
    <w:name w:val="Introduction copy"/>
    <w:basedOn w:val="Normal"/>
    <w:qFormat/>
    <w:rsid w:val="004E6414"/>
    <w:pPr>
      <w:spacing w:after="280"/>
    </w:pPr>
    <w:rPr>
      <w:color w:val="7F7F7F" w:themeColor="text1" w:themeTint="8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21A3F"/>
    <w:rPr>
      <w:rFonts w:asciiTheme="majorHAnsi" w:eastAsiaTheme="majorEastAsia" w:hAnsiTheme="majorHAnsi" w:cstheme="majorBidi"/>
      <w:color w:val="16A3A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414"/>
    <w:rPr>
      <w:b/>
      <w:color w:val="595959" w:themeColor="text1" w:themeTint="A6"/>
      <w:sz w:val="28"/>
      <w:szCs w:val="18"/>
    </w:rPr>
  </w:style>
  <w:style w:type="paragraph" w:styleId="ListBullet">
    <w:name w:val="List Bullet"/>
    <w:basedOn w:val="Normal"/>
    <w:uiPriority w:val="99"/>
    <w:unhideWhenUsed/>
    <w:rsid w:val="008F6B7D"/>
    <w:pPr>
      <w:numPr>
        <w:numId w:val="10"/>
      </w:numPr>
      <w:spacing w:before="0" w:after="60"/>
      <w:contextualSpacing/>
    </w:pPr>
  </w:style>
  <w:style w:type="paragraph" w:styleId="ListBullet2">
    <w:name w:val="List Bullet 2"/>
    <w:basedOn w:val="Normal"/>
    <w:uiPriority w:val="99"/>
    <w:unhideWhenUsed/>
    <w:rsid w:val="008F6B7D"/>
    <w:pPr>
      <w:numPr>
        <w:numId w:val="9"/>
      </w:numPr>
      <w:spacing w:before="0" w:after="60"/>
      <w:contextualSpacing/>
    </w:pPr>
  </w:style>
  <w:style w:type="paragraph" w:styleId="ListBullet3">
    <w:name w:val="List Bullet 3"/>
    <w:basedOn w:val="Normal"/>
    <w:uiPriority w:val="99"/>
    <w:unhideWhenUsed/>
    <w:rsid w:val="008F6B7D"/>
    <w:pPr>
      <w:numPr>
        <w:numId w:val="8"/>
      </w:numPr>
      <w:spacing w:before="0" w:after="60"/>
      <w:contextualSpacing/>
    </w:pPr>
  </w:style>
  <w:style w:type="paragraph" w:styleId="ListBullet4">
    <w:name w:val="List Bullet 4"/>
    <w:basedOn w:val="Normal"/>
    <w:uiPriority w:val="99"/>
    <w:unhideWhenUsed/>
    <w:rsid w:val="008F6B7D"/>
    <w:pPr>
      <w:numPr>
        <w:numId w:val="7"/>
      </w:numPr>
      <w:spacing w:before="0" w:after="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B7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6B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6B7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6B7D"/>
    <w:rPr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qFormat/>
    <w:rsid w:val="005929A2"/>
    <w:pPr>
      <w:spacing w:after="60"/>
    </w:pPr>
    <w:rPr>
      <w:rFonts w:asciiTheme="majorHAnsi" w:hAnsiTheme="majorHAnsi" w:cstheme="majorHAnsi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929A2"/>
    <w:rPr>
      <w:rFonts w:asciiTheme="majorHAnsi" w:hAnsiTheme="majorHAnsi" w:cstheme="majorHAnsi"/>
      <w:color w:val="000000" w:themeColor="text1"/>
      <w:sz w:val="52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F1A"/>
    <w:pPr>
      <w:tabs>
        <w:tab w:val="center" w:pos="4680"/>
        <w:tab w:val="right" w:pos="9360"/>
      </w:tabs>
      <w:spacing w:before="0" w:after="0"/>
    </w:pPr>
    <w:rPr>
      <w:rFonts w:asciiTheme="majorHAnsi" w:hAnsiTheme="majorHAnsi" w:cstheme="majorHAnsi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D5F1A"/>
    <w:rPr>
      <w:rFonts w:asciiTheme="majorHAnsi" w:hAnsiTheme="majorHAnsi" w:cstheme="majorHAnsi"/>
      <w:color w:val="000000" w:themeColor="text1"/>
      <w:sz w:val="40"/>
      <w:szCs w:val="40"/>
    </w:rPr>
  </w:style>
  <w:style w:type="table" w:styleId="TableGrid">
    <w:name w:val="Table Grid"/>
    <w:basedOn w:val="TableNormal"/>
    <w:uiPriority w:val="59"/>
    <w:rsid w:val="00F316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orangetitle">
    <w:name w:val="Small orange title"/>
    <w:basedOn w:val="Normal"/>
    <w:qFormat/>
    <w:rsid w:val="009B1A69"/>
    <w:pPr>
      <w:spacing w:before="60" w:after="60"/>
    </w:pPr>
    <w:rPr>
      <w:rFonts w:ascii="Arial" w:eastAsia="Times New Roman" w:hAnsi="Arial" w:cs="Arial"/>
      <w:b/>
      <w:color w:val="E37607"/>
      <w:lang w:eastAsia="en-AU"/>
    </w:rPr>
  </w:style>
  <w:style w:type="paragraph" w:customStyle="1" w:styleId="Quotation">
    <w:name w:val="Quotation"/>
    <w:basedOn w:val="Normal"/>
    <w:qFormat/>
    <w:rsid w:val="00592140"/>
    <w:rPr>
      <w:i/>
      <w:color w:val="16A3A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F1902"/>
    <w:rPr>
      <w:rFonts w:asciiTheme="majorHAnsi" w:eastAsiaTheme="majorEastAsia" w:hAnsiTheme="majorHAnsi" w:cstheme="majorBidi"/>
      <w:b/>
      <w:color w:val="595959" w:themeColor="text1" w:themeTint="A6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F1902"/>
    <w:rPr>
      <w:b/>
      <w:color w:val="404040" w:themeColor="text1" w:themeTint="BF"/>
      <w:sz w:val="20"/>
      <w:szCs w:val="18"/>
    </w:rPr>
  </w:style>
  <w:style w:type="paragraph" w:customStyle="1" w:styleId="Titlewithline">
    <w:name w:val="Title with line"/>
    <w:basedOn w:val="Smallorangetitle"/>
    <w:qFormat/>
    <w:rsid w:val="00121A3F"/>
    <w:pPr>
      <w:pBdr>
        <w:top w:val="single" w:sz="2" w:space="10" w:color="06B9BD"/>
      </w:pBdr>
    </w:pPr>
    <w:rPr>
      <w:color w:val="16A3A7"/>
    </w:rPr>
  </w:style>
  <w:style w:type="paragraph" w:customStyle="1" w:styleId="Tabletitle">
    <w:name w:val="Table title"/>
    <w:basedOn w:val="Tablecopy"/>
    <w:qFormat/>
    <w:rsid w:val="00B93B5C"/>
    <w:rPr>
      <w:b/>
    </w:rPr>
  </w:style>
  <w:style w:type="paragraph" w:customStyle="1" w:styleId="Tablecopy">
    <w:name w:val="Table copy"/>
    <w:basedOn w:val="Normal"/>
    <w:qFormat/>
    <w:rsid w:val="004E6414"/>
    <w:pPr>
      <w:spacing w:before="60" w:after="60"/>
    </w:pPr>
    <w:rPr>
      <w:rFonts w:ascii="Arial" w:eastAsia="Times New Roman" w:hAnsi="Arial" w:cs="Arial"/>
      <w:lang w:eastAsia="en-AU"/>
    </w:rPr>
  </w:style>
  <w:style w:type="table" w:styleId="TableGridLight">
    <w:name w:val="Grid Table Light"/>
    <w:basedOn w:val="TableNormal"/>
    <w:uiPriority w:val="40"/>
    <w:rsid w:val="00EF7A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F7A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OTTable">
    <w:name w:val="DOT Table"/>
    <w:basedOn w:val="TableNormal"/>
    <w:uiPriority w:val="99"/>
    <w:rsid w:val="00627AEC"/>
    <w:rPr>
      <w:sz w:val="18"/>
    </w:rPr>
    <w:tblPr/>
    <w:tblStylePr w:type="firstRow">
      <w:rPr>
        <w:rFonts w:asciiTheme="majorHAnsi" w:hAnsiTheme="majorHAnsi"/>
        <w:b/>
        <w:sz w:val="20"/>
      </w:rPr>
    </w:tblStylePr>
  </w:style>
  <w:style w:type="table" w:customStyle="1" w:styleId="DOTtable0">
    <w:name w:val="DOT table"/>
    <w:basedOn w:val="TableNormal"/>
    <w:uiPriority w:val="99"/>
    <w:rsid w:val="00F84D63"/>
    <w:rPr>
      <w:sz w:val="18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b/>
        <w:color w:val="000000" w:themeColor="text1"/>
        <w:sz w:val="18"/>
      </w:rPr>
      <w:tblPr/>
      <w:tcPr>
        <w:tcBorders>
          <w:bottom w:val="single" w:sz="4" w:space="0" w:color="808080" w:themeColor="background1" w:themeShade="80"/>
        </w:tcBorders>
        <w:shd w:val="clear" w:color="auto" w:fill="D6ECED"/>
      </w:tcPr>
    </w:tblStylePr>
    <w:tblStylePr w:type="band1Horz">
      <w:tblPr/>
      <w:tcPr>
        <w:tcBorders>
          <w:top w:val="single" w:sz="4" w:space="0" w:color="808080" w:themeColor="background1" w:themeShade="80"/>
        </w:tcBorders>
        <w:shd w:val="clear" w:color="auto" w:fill="auto"/>
      </w:tcPr>
    </w:tblStylePr>
    <w:tblStylePr w:type="band2Horz">
      <w:tblPr/>
      <w:tcPr>
        <w:tcBorders>
          <w:top w:val="single" w:sz="4" w:space="0" w:color="808080" w:themeColor="background1" w:themeShade="80"/>
        </w:tcBorders>
        <w:shd w:val="clear" w:color="auto" w:fill="auto"/>
      </w:tcPr>
    </w:tblStylePr>
  </w:style>
  <w:style w:type="paragraph" w:styleId="TOCHeading">
    <w:name w:val="TOC Heading"/>
    <w:next w:val="Normal"/>
    <w:uiPriority w:val="39"/>
    <w:unhideWhenUsed/>
    <w:qFormat/>
    <w:rsid w:val="00FA50FE"/>
    <w:pPr>
      <w:spacing w:before="240" w:after="360"/>
    </w:pPr>
    <w:rPr>
      <w:rFonts w:asciiTheme="majorHAnsi" w:eastAsiaTheme="majorEastAsia" w:hAnsiTheme="majorHAnsi" w:cstheme="majorBidi"/>
      <w:color w:val="16A3A7"/>
      <w:sz w:val="4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7F1902"/>
    <w:rPr>
      <w:rFonts w:asciiTheme="majorHAnsi" w:eastAsiaTheme="majorEastAsia" w:hAnsiTheme="majorHAnsi" w:cstheme="majorBidi"/>
      <w:b/>
      <w:color w:val="000000" w:themeColor="tex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A50FE"/>
    <w:pPr>
      <w:tabs>
        <w:tab w:val="right" w:leader="underscore" w:pos="9010"/>
      </w:tabs>
      <w:spacing w:before="280" w:after="0"/>
    </w:pPr>
    <w:rPr>
      <w:rFonts w:asciiTheme="majorHAnsi" w:hAnsiTheme="majorHAnsi" w:cs="Arial (Headings)"/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6C7F"/>
    <w:pPr>
      <w:tabs>
        <w:tab w:val="right" w:pos="9010"/>
      </w:tabs>
      <w:spacing w:before="40" w:after="40"/>
    </w:pPr>
    <w:rPr>
      <w:rFonts w:cs="Arial (Body)"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76C7F"/>
    <w:pPr>
      <w:tabs>
        <w:tab w:val="right" w:pos="9010"/>
      </w:tabs>
      <w:spacing w:before="0" w:after="0"/>
    </w:pPr>
    <w:rPr>
      <w:rFonts w:cstheme="minorHAnsi"/>
      <w:noProof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BA371A"/>
    <w:rPr>
      <w:color w:val="E37607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E1DA0"/>
  </w:style>
  <w:style w:type="character" w:customStyle="1" w:styleId="Heading6Char">
    <w:name w:val="Heading 6 Char"/>
    <w:basedOn w:val="DefaultParagraphFont"/>
    <w:link w:val="Heading6"/>
    <w:uiPriority w:val="9"/>
    <w:rsid w:val="007F1902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F1902"/>
    <w:rPr>
      <w:rFonts w:asciiTheme="majorHAnsi" w:eastAsiaTheme="majorEastAsia" w:hAnsiTheme="majorHAnsi" w:cstheme="majorBidi"/>
      <w:i/>
      <w:iCs/>
      <w:color w:val="000000" w:themeColor="text1"/>
      <w:sz w:val="18"/>
      <w:szCs w:val="18"/>
    </w:rPr>
  </w:style>
  <w:style w:type="paragraph" w:customStyle="1" w:styleId="SectionBreakTitle">
    <w:name w:val="Section Break Title"/>
    <w:basedOn w:val="Title"/>
    <w:qFormat/>
    <w:rsid w:val="00B12F9B"/>
    <w:rPr>
      <w:sz w:val="44"/>
    </w:rPr>
  </w:style>
  <w:style w:type="paragraph" w:customStyle="1" w:styleId="Sectionbreaksubheading">
    <w:name w:val="Section break subheading"/>
    <w:basedOn w:val="Subtitle"/>
    <w:qFormat/>
    <w:rsid w:val="00ED4E8B"/>
    <w:rPr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6D49CF"/>
    <w:pPr>
      <w:spacing w:before="0" w:after="200" w:line="276" w:lineRule="auto"/>
      <w:ind w:left="720"/>
      <w:contextualSpacing/>
    </w:pPr>
    <w:rPr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D49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CA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CA9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CA9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A9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A9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hv.design@road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icroads.vic.gov.au/business-and-industry/heavy-vehicle-industry/registration-permits-curfews-and-compliance/heavy-vehicle-access-permi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T Colours">
      <a:dk1>
        <a:srgbClr val="000000"/>
      </a:dk1>
      <a:lt1>
        <a:srgbClr val="FFFFFF"/>
      </a:lt1>
      <a:dk2>
        <a:srgbClr val="0A1F3F"/>
      </a:dk2>
      <a:lt2>
        <a:srgbClr val="E7E6E6"/>
      </a:lt2>
      <a:accent1>
        <a:srgbClr val="06B9BD"/>
      </a:accent1>
      <a:accent2>
        <a:srgbClr val="FF8200"/>
      </a:accent2>
      <a:accent3>
        <a:srgbClr val="E1EEF9"/>
      </a:accent3>
      <a:accent4>
        <a:srgbClr val="555857"/>
      </a:accent4>
      <a:accent5>
        <a:srgbClr val="FFD100"/>
      </a:accent5>
      <a:accent6>
        <a:srgbClr val="13A2A6"/>
      </a:accent6>
      <a:hlink>
        <a:srgbClr val="E37607"/>
      </a:hlink>
      <a:folHlink>
        <a:srgbClr val="73707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D9AE8081CC4CA9285997549944CC" ma:contentTypeVersion="10" ma:contentTypeDescription="Create a new document." ma:contentTypeScope="" ma:versionID="76fce08d3018308978ede369687b2106">
  <xsd:schema xmlns:xsd="http://www.w3.org/2001/XMLSchema" xmlns:xs="http://www.w3.org/2001/XMLSchema" xmlns:p="http://schemas.microsoft.com/office/2006/metadata/properties" xmlns:ns3="756ee769-a31d-4b23-9f2b-b826d41a179f" targetNamespace="http://schemas.microsoft.com/office/2006/metadata/properties" ma:root="true" ma:fieldsID="54a727ba9b91b0b8af619db3492de855" ns3:_="">
    <xsd:import namespace="756ee769-a31d-4b23-9f2b-b826d41a1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ee769-a31d-4b23-9f2b-b826d41a1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6BFA9-8141-4111-864E-D3B6DBD2879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56ee769-a31d-4b23-9f2b-b826d41a179f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F0D0B3-10F6-4B30-B6D2-F8761334A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FDA1A-A772-485B-A051-7A3145840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ee769-a31d-4b23-9f2b-b826d41a1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DD0F0-3F8E-4877-B597-44162941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- A4 - Portrait - Light Cover</vt:lpstr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A4 - Portrait - Light Cover</dc:title>
  <dc:subject/>
  <dc:creator>Microsoft Office User</dc:creator>
  <cp:keywords/>
  <dc:description/>
  <cp:lastModifiedBy>David Muir</cp:lastModifiedBy>
  <cp:revision>11</cp:revision>
  <dcterms:created xsi:type="dcterms:W3CDTF">2020-01-29T22:31:00Z</dcterms:created>
  <dcterms:modified xsi:type="dcterms:W3CDTF">2020-04-27T03:39:00Z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16</vt:lpwstr>
  </property>
  <property fmtid="{D5CDD505-2E9C-101B-9397-08002B2CF9AE}" pid="3" name="ContentTypeId">
    <vt:lpwstr>0x010100637AD9AE8081CC4CA9285997549944CC</vt:lpwstr>
  </property>
</Properties>
</file>