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2A" w:rsidRDefault="003D112A" w:rsidP="003D112A">
      <w:pPr>
        <w:spacing w:after="240"/>
        <w:rPr>
          <w:rFonts w:ascii="Verdana" w:hAnsi="Verdana"/>
          <w:b/>
          <w:sz w:val="40"/>
          <w:szCs w:val="40"/>
        </w:rPr>
      </w:pPr>
      <w:r>
        <w:rPr>
          <w:rFonts w:ascii="Verdana" w:hAnsi="Verdana"/>
          <w:b/>
          <w:sz w:val="40"/>
          <w:szCs w:val="40"/>
        </w:rPr>
        <w:t xml:space="preserve">Go above and beyond for your client. </w:t>
      </w:r>
    </w:p>
    <w:p w:rsidR="003D112A" w:rsidRPr="004F5282" w:rsidRDefault="003D112A" w:rsidP="003D112A">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3D112A" w:rsidRPr="00F11386" w:rsidRDefault="003D112A" w:rsidP="003D112A">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Wading through the complexity</w:t>
      </w:r>
    </w:p>
    <w:p w:rsidR="003D112A" w:rsidRPr="00D544B1" w:rsidRDefault="003D112A" w:rsidP="003D112A">
      <w:pPr>
        <w:pBdr>
          <w:bottom w:val="single" w:sz="4" w:space="1" w:color="auto"/>
        </w:pBdr>
        <w:spacing w:line="240" w:lineRule="auto"/>
        <w:rPr>
          <w:rFonts w:ascii="Verdana" w:hAnsi="Verdana" w:cstheme="minorHAnsi"/>
          <w:b/>
        </w:rPr>
      </w:pPr>
    </w:p>
    <w:p w:rsidR="003D112A" w:rsidRPr="00F11386" w:rsidRDefault="003D112A" w:rsidP="003D112A">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Pr="00544211">
        <w:rPr>
          <w:rFonts w:ascii="Verdana" w:hAnsi="Verdana" w:cstheme="minorHAnsi"/>
          <w:color w:val="70AD47" w:themeColor="accent6"/>
          <w:sz w:val="28"/>
          <w:szCs w:val="28"/>
        </w:rPr>
        <w:t xml:space="preserve">Top 3 things you need </w:t>
      </w:r>
      <w:r>
        <w:rPr>
          <w:rFonts w:ascii="Verdana" w:hAnsi="Verdana" w:cstheme="minorHAnsi"/>
          <w:color w:val="70AD47" w:themeColor="accent6"/>
          <w:sz w:val="28"/>
          <w:szCs w:val="28"/>
        </w:rPr>
        <w:t>to know about TPD</w:t>
      </w:r>
    </w:p>
    <w:p w:rsidR="003D112A" w:rsidRDefault="003D112A" w:rsidP="003D112A">
      <w:pPr>
        <w:spacing w:line="240" w:lineRule="auto"/>
        <w:rPr>
          <w:rFonts w:ascii="Verdana" w:hAnsi="Verdana" w:cstheme="minorHAnsi"/>
          <w:b/>
          <w:color w:val="808080" w:themeColor="background1" w:themeShade="80"/>
        </w:rPr>
      </w:pPr>
    </w:p>
    <w:p w:rsidR="003D112A" w:rsidRPr="00D544B1" w:rsidRDefault="003D112A" w:rsidP="003D112A">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3D112A" w:rsidRPr="003D650A" w:rsidRDefault="003D112A" w:rsidP="003D112A">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3D112A" w:rsidRPr="003D650A" w:rsidRDefault="003D112A" w:rsidP="003D112A">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3D112A" w:rsidRPr="003D650A" w:rsidRDefault="003D112A" w:rsidP="003D112A">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w:t>
      </w:r>
      <w:bookmarkStart w:id="0" w:name="_GoBack"/>
      <w:r w:rsidRPr="003D650A">
        <w:rPr>
          <w:rFonts w:ascii="Verdana" w:hAnsi="Verdana"/>
          <w:color w:val="808080" w:themeColor="background1" w:themeShade="80"/>
        </w:rPr>
        <w:t>to</w:t>
      </w:r>
      <w:bookmarkEnd w:id="0"/>
      <w:r w:rsidRPr="003D650A">
        <w:rPr>
          <w:rFonts w:ascii="Verdana" w:hAnsi="Verdana"/>
          <w:color w:val="808080" w:themeColor="background1" w:themeShade="80"/>
        </w:rPr>
        <w:t xml:space="preserve"> the material to promote life insurance education. We encourage you to get on board and help grow engagement and confidence in the life insurance industry by using it when you post on social media. </w:t>
      </w:r>
    </w:p>
    <w:p w:rsidR="003D112A" w:rsidRPr="003D650A" w:rsidRDefault="003D112A" w:rsidP="003D112A">
      <w:pPr>
        <w:spacing w:line="240" w:lineRule="auto"/>
        <w:rPr>
          <w:rFonts w:ascii="Verdana" w:hAnsi="Verdana" w:cstheme="minorHAnsi"/>
          <w:b/>
          <w:sz w:val="16"/>
          <w:szCs w:val="16"/>
        </w:rPr>
      </w:pPr>
    </w:p>
    <w:p w:rsidR="003D112A" w:rsidRPr="004F5282" w:rsidRDefault="003D112A" w:rsidP="003D112A">
      <w:pPr>
        <w:spacing w:line="240" w:lineRule="auto"/>
        <w:ind w:left="720"/>
        <w:rPr>
          <w:rFonts w:ascii="Verdana" w:hAnsi="Verdana" w:cstheme="minorHAnsi"/>
          <w:b/>
        </w:rPr>
      </w:pPr>
      <w:r w:rsidRPr="004F5282">
        <w:rPr>
          <w:rFonts w:ascii="Verdana" w:hAnsi="Verdana" w:cstheme="minorHAnsi"/>
          <w:b/>
        </w:rPr>
        <w:t xml:space="preserve">SOCIAL MEDIA POST </w:t>
      </w:r>
    </w:p>
    <w:p w:rsidR="003D112A" w:rsidRDefault="003D112A" w:rsidP="003D112A">
      <w:pPr>
        <w:ind w:left="720"/>
        <w:rPr>
          <w:rFonts w:ascii="Verdana" w:hAnsi="Verdana" w:cstheme="minorHAnsi"/>
        </w:rPr>
      </w:pPr>
      <w:r w:rsidRPr="00B6286C">
        <w:rPr>
          <w:rFonts w:ascii="Verdana" w:hAnsi="Verdana" w:cstheme="minorHAnsi"/>
          <w:shd w:val="clear" w:color="auto" w:fill="FFFFFF"/>
        </w:rPr>
        <w:t>Total and permanent disability (TPD) cover is one of the most complicated types of life insurance, so it’s important you understand what you’re covered for and what that means at claim time</w:t>
      </w:r>
      <w:r w:rsidRPr="00B6286C">
        <w:rPr>
          <w:rFonts w:ascii="Verdana" w:hAnsi="Verdana" w:cstheme="minorHAnsi"/>
        </w:rPr>
        <w:t xml:space="preserve">. </w:t>
      </w:r>
      <w:r w:rsidRPr="00B6286C">
        <w:rPr>
          <w:rFonts w:ascii="Verdana" w:hAnsi="Verdana" w:cstheme="minorHAnsi"/>
          <w:color w:val="00B0F0"/>
          <w:u w:val="single"/>
          <w:lang w:eastAsia="en-AU"/>
        </w:rPr>
        <w:t>Read more</w:t>
      </w:r>
      <w:r>
        <w:rPr>
          <w:rFonts w:ascii="Verdana" w:hAnsi="Verdana" w:cstheme="minorHAnsi"/>
        </w:rPr>
        <w:t xml:space="preserve"> </w:t>
      </w:r>
      <w:r w:rsidR="00C51B21" w:rsidRPr="003D112A">
        <w:rPr>
          <w:rFonts w:ascii="Verdana" w:hAnsi="Verdana" w:cstheme="minorHAnsi"/>
        </w:rPr>
        <w:t xml:space="preserve">#clarity </w:t>
      </w:r>
    </w:p>
    <w:p w:rsidR="00C51B21" w:rsidRPr="003D112A" w:rsidRDefault="00C51B21" w:rsidP="003D112A">
      <w:pPr>
        <w:ind w:left="720"/>
        <w:rPr>
          <w:rFonts w:ascii="Verdana" w:hAnsi="Verdana" w:cstheme="minorHAnsi"/>
        </w:rPr>
      </w:pPr>
      <w:r w:rsidRPr="003D112A">
        <w:rPr>
          <w:rFonts w:ascii="Verdana" w:hAnsi="Verdana" w:cstheme="minorHAnsi"/>
          <w:highlight w:val="lightGray"/>
        </w:rPr>
        <w:t>&lt;Link to the article below either on your website or within the social platform&gt;</w:t>
      </w:r>
    </w:p>
    <w:p w:rsidR="003D112A" w:rsidRPr="004F5282" w:rsidRDefault="003D112A" w:rsidP="003D112A">
      <w:pPr>
        <w:pBdr>
          <w:bottom w:val="single" w:sz="4" w:space="1" w:color="auto"/>
        </w:pBdr>
        <w:spacing w:line="240" w:lineRule="auto"/>
        <w:rPr>
          <w:rFonts w:ascii="Verdana" w:hAnsi="Verdana" w:cstheme="minorHAnsi"/>
          <w:b/>
          <w:color w:val="A6A6A6" w:themeColor="background1" w:themeShade="A6"/>
        </w:rPr>
      </w:pPr>
    </w:p>
    <w:p w:rsidR="003D112A" w:rsidRDefault="003D112A" w:rsidP="003D112A">
      <w:pPr>
        <w:spacing w:line="240" w:lineRule="auto"/>
        <w:rPr>
          <w:rFonts w:ascii="Verdana" w:hAnsi="Verdana" w:cstheme="minorHAnsi"/>
          <w:b/>
          <w:color w:val="808080" w:themeColor="background1" w:themeShade="80"/>
        </w:rPr>
      </w:pPr>
    </w:p>
    <w:p w:rsidR="003D112A" w:rsidRPr="003D650A" w:rsidRDefault="003D112A" w:rsidP="003D112A">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3D112A" w:rsidRDefault="003D112A" w:rsidP="003D112A">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3D112A" w:rsidRPr="003D650A" w:rsidRDefault="003D112A" w:rsidP="003D112A">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3D112A" w:rsidRPr="003D650A" w:rsidRDefault="003D112A" w:rsidP="003D112A">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3D112A" w:rsidRDefault="003D112A" w:rsidP="003D112A">
      <w:pPr>
        <w:ind w:left="360"/>
        <w:rPr>
          <w:rFonts w:ascii="Verdana" w:hAnsi="Verdana"/>
          <w:b/>
        </w:rPr>
      </w:pPr>
    </w:p>
    <w:p w:rsidR="003D112A" w:rsidRDefault="003D112A" w:rsidP="003D112A">
      <w:pPr>
        <w:ind w:left="360"/>
        <w:rPr>
          <w:rFonts w:ascii="Verdana" w:hAnsi="Verdana"/>
          <w:b/>
        </w:rPr>
      </w:pPr>
    </w:p>
    <w:p w:rsidR="003D112A" w:rsidRDefault="003D112A" w:rsidP="003D112A">
      <w:pPr>
        <w:ind w:left="360"/>
        <w:rPr>
          <w:rFonts w:ascii="Verdana" w:hAnsi="Verdana"/>
          <w:b/>
        </w:rPr>
      </w:pPr>
    </w:p>
    <w:p w:rsidR="003D112A" w:rsidRDefault="003D112A" w:rsidP="003D112A">
      <w:pPr>
        <w:ind w:left="360"/>
        <w:rPr>
          <w:rFonts w:ascii="Verdana" w:hAnsi="Verdana"/>
          <w:b/>
        </w:rPr>
      </w:pPr>
    </w:p>
    <w:p w:rsidR="003D112A" w:rsidRDefault="003D112A" w:rsidP="003D112A">
      <w:pPr>
        <w:ind w:left="360"/>
        <w:rPr>
          <w:rFonts w:ascii="Verdana" w:hAnsi="Verdana"/>
          <w:b/>
        </w:rPr>
      </w:pPr>
    </w:p>
    <w:p w:rsidR="003D112A" w:rsidRPr="003D650A" w:rsidRDefault="003D112A" w:rsidP="003D112A">
      <w:pPr>
        <w:ind w:left="360"/>
        <w:rPr>
          <w:rFonts w:ascii="Verdana" w:hAnsi="Verdana"/>
          <w:b/>
        </w:rPr>
      </w:pPr>
      <w:r w:rsidRPr="003D650A">
        <w:rPr>
          <w:rFonts w:ascii="Verdana" w:hAnsi="Verdana"/>
          <w:b/>
        </w:rPr>
        <w:lastRenderedPageBreak/>
        <w:t>ARTICLE</w:t>
      </w:r>
    </w:p>
    <w:p w:rsidR="003D112A" w:rsidRPr="003D112A" w:rsidRDefault="003D112A" w:rsidP="003D112A">
      <w:pPr>
        <w:spacing w:after="150" w:line="504" w:lineRule="atLeast"/>
        <w:ind w:left="360"/>
        <w:outlineLvl w:val="1"/>
        <w:rPr>
          <w:rFonts w:ascii="Verdana" w:eastAsia="Times New Roman" w:hAnsi="Verdana" w:cs="Arial"/>
          <w:b/>
          <w:bCs/>
          <w:color w:val="415763"/>
          <w:sz w:val="28"/>
          <w:szCs w:val="28"/>
          <w:lang w:val="en-AU" w:eastAsia="en-AU"/>
        </w:rPr>
      </w:pPr>
      <w:r w:rsidRPr="003D112A">
        <w:rPr>
          <w:rFonts w:ascii="Verdana" w:eastAsia="Times New Roman" w:hAnsi="Verdana" w:cs="Arial"/>
          <w:b/>
          <w:bCs/>
          <w:color w:val="415763"/>
          <w:sz w:val="28"/>
          <w:szCs w:val="28"/>
          <w:lang w:val="en-AU" w:eastAsia="en-AU"/>
        </w:rPr>
        <w:t>TPD cover 101</w:t>
      </w:r>
    </w:p>
    <w:p w:rsidR="003D112A" w:rsidRPr="003D112A" w:rsidRDefault="003D112A" w:rsidP="003D112A">
      <w:pPr>
        <w:spacing w:before="100" w:beforeAutospacing="1" w:after="100" w:afterAutospacing="1" w:line="240" w:lineRule="auto"/>
        <w:ind w:left="360"/>
        <w:rPr>
          <w:rFonts w:ascii="Verdana" w:eastAsia="Times New Roman" w:hAnsi="Verdana" w:cstheme="minorHAnsi"/>
          <w:lang w:eastAsia="en-GB"/>
        </w:rPr>
      </w:pPr>
      <w:r w:rsidRPr="003D112A">
        <w:rPr>
          <w:rFonts w:ascii="Verdana" w:eastAsia="Times New Roman" w:hAnsi="Verdana" w:cstheme="minorHAnsi"/>
          <w:lang w:eastAsia="en-GB"/>
        </w:rPr>
        <w:t xml:space="preserve">A permanent disability will change what the rest of your life looks like. It can also make life much more expensive in terms of medical care and home modifications – which is why TPD cover is so valuable. </w:t>
      </w:r>
    </w:p>
    <w:p w:rsidR="003D112A" w:rsidRPr="003D112A" w:rsidRDefault="003D112A" w:rsidP="003D112A">
      <w:pPr>
        <w:spacing w:before="100" w:beforeAutospacing="1" w:after="100" w:afterAutospacing="1" w:line="240" w:lineRule="auto"/>
        <w:ind w:left="360"/>
        <w:rPr>
          <w:rFonts w:ascii="Verdana" w:eastAsia="Times New Roman" w:hAnsi="Verdana" w:cstheme="minorHAnsi"/>
          <w:lang w:eastAsia="en-GB"/>
        </w:rPr>
      </w:pPr>
      <w:r w:rsidRPr="003D112A">
        <w:rPr>
          <w:rFonts w:ascii="Verdana" w:eastAsia="Times New Roman" w:hAnsi="Verdana" w:cstheme="minorHAnsi"/>
          <w:lang w:eastAsia="en-GB"/>
        </w:rPr>
        <w:t xml:space="preserve">When you’re looking at TPD cover, there are </w:t>
      </w:r>
      <w:r w:rsidRPr="003D112A">
        <w:rPr>
          <w:rFonts w:ascii="Verdana" w:eastAsia="Times New Roman" w:hAnsi="Verdana" w:cstheme="minorHAnsi"/>
          <w:bCs/>
          <w:lang w:eastAsia="en-GB"/>
        </w:rPr>
        <w:t>3 key things you need to understand</w:t>
      </w:r>
      <w:r w:rsidRPr="003D112A">
        <w:rPr>
          <w:rFonts w:ascii="Verdana" w:eastAsia="Times New Roman" w:hAnsi="Verdana" w:cstheme="minorHAnsi"/>
          <w:lang w:eastAsia="en-GB"/>
        </w:rPr>
        <w:t xml:space="preserve"> so you know what you’re covered for, and what that means at claim time:</w:t>
      </w:r>
    </w:p>
    <w:p w:rsidR="003D112A" w:rsidRPr="003D112A" w:rsidRDefault="003D112A" w:rsidP="003D112A">
      <w:pPr>
        <w:numPr>
          <w:ilvl w:val="0"/>
          <w:numId w:val="5"/>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3D112A">
        <w:rPr>
          <w:rFonts w:ascii="Verdana" w:eastAsia="Times New Roman" w:hAnsi="Verdana" w:cstheme="minorHAnsi"/>
          <w:lang w:eastAsia="en-GB"/>
        </w:rPr>
        <w:t>How your claim will be assessed – Any or own occupation</w:t>
      </w:r>
    </w:p>
    <w:p w:rsidR="003D112A" w:rsidRPr="003D112A" w:rsidRDefault="003D112A" w:rsidP="003D112A">
      <w:pPr>
        <w:numPr>
          <w:ilvl w:val="0"/>
          <w:numId w:val="5"/>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3D112A">
        <w:rPr>
          <w:rFonts w:ascii="Verdana" w:eastAsia="Times New Roman" w:hAnsi="Verdana" w:cstheme="minorHAnsi"/>
          <w:lang w:eastAsia="en-GB"/>
        </w:rPr>
        <w:t>How long your claim will take – Maximum medical improvement</w:t>
      </w:r>
    </w:p>
    <w:p w:rsidR="003D112A" w:rsidRPr="003D112A" w:rsidRDefault="003D112A" w:rsidP="003D112A">
      <w:pPr>
        <w:numPr>
          <w:ilvl w:val="0"/>
          <w:numId w:val="5"/>
        </w:numPr>
        <w:tabs>
          <w:tab w:val="clear" w:pos="720"/>
          <w:tab w:val="num" w:pos="1080"/>
        </w:tabs>
        <w:spacing w:before="100" w:beforeAutospacing="1" w:after="100" w:afterAutospacing="1" w:line="240" w:lineRule="auto"/>
        <w:ind w:left="1080"/>
        <w:rPr>
          <w:rFonts w:ascii="Verdana" w:eastAsia="Times New Roman" w:hAnsi="Verdana" w:cstheme="minorHAnsi"/>
          <w:lang w:eastAsia="en-GB"/>
        </w:rPr>
      </w:pPr>
      <w:r w:rsidRPr="003D112A">
        <w:rPr>
          <w:rFonts w:ascii="Verdana" w:eastAsia="Times New Roman" w:hAnsi="Verdana" w:cstheme="minorHAnsi"/>
          <w:lang w:eastAsia="en-GB"/>
        </w:rPr>
        <w:t>How your cover is structured – Stand-alone or linked</w:t>
      </w:r>
    </w:p>
    <w:p w:rsidR="003D112A" w:rsidRPr="003D112A" w:rsidRDefault="003D112A" w:rsidP="003D112A">
      <w:pPr>
        <w:pStyle w:val="Heading3"/>
        <w:ind w:left="360"/>
        <w:rPr>
          <w:rFonts w:ascii="Verdana" w:hAnsi="Verdana" w:cs="Arial"/>
          <w:color w:val="415763"/>
          <w:sz w:val="22"/>
          <w:szCs w:val="22"/>
          <w:lang w:val="en-AU" w:eastAsia="en-AU"/>
        </w:rPr>
      </w:pPr>
      <w:r w:rsidRPr="003D112A">
        <w:rPr>
          <w:rFonts w:ascii="Verdana" w:hAnsi="Verdana" w:cs="Arial"/>
          <w:color w:val="415763"/>
          <w:sz w:val="22"/>
          <w:szCs w:val="22"/>
          <w:lang w:val="en-AU" w:eastAsia="en-AU"/>
        </w:rPr>
        <w:t>1</w:t>
      </w:r>
      <w:r w:rsidRPr="003D112A">
        <w:rPr>
          <w:rStyle w:val="Strong"/>
          <w:rFonts w:ascii="Verdana" w:hAnsi="Verdana" w:cstheme="minorHAnsi"/>
          <w:b/>
          <w:bCs/>
          <w:sz w:val="22"/>
          <w:szCs w:val="22"/>
        </w:rPr>
        <w:t xml:space="preserve">. </w:t>
      </w:r>
      <w:r w:rsidRPr="003D112A">
        <w:rPr>
          <w:rFonts w:ascii="Verdana" w:hAnsi="Verdana" w:cs="Arial"/>
          <w:color w:val="415763"/>
          <w:sz w:val="22"/>
          <w:szCs w:val="22"/>
          <w:lang w:val="en-AU" w:eastAsia="en-AU"/>
        </w:rPr>
        <w:t>Any or own occupation</w:t>
      </w:r>
    </w:p>
    <w:p w:rsidR="003D112A" w:rsidRPr="003D112A" w:rsidRDefault="003D112A" w:rsidP="003D112A">
      <w:pPr>
        <w:spacing w:after="150" w:line="336" w:lineRule="atLeast"/>
        <w:ind w:left="360"/>
        <w:rPr>
          <w:rFonts w:ascii="Verdana" w:hAnsi="Verdana" w:cstheme="minorHAnsi"/>
        </w:rPr>
      </w:pPr>
      <w:r w:rsidRPr="003D112A">
        <w:rPr>
          <w:rFonts w:ascii="Verdana" w:hAnsi="Verdana" w:cstheme="minorHAnsi"/>
        </w:rPr>
        <w:t>When you start a TPD cover policy, you may be given a choice of definition that will apply at claim time. The two main choices are:</w:t>
      </w:r>
    </w:p>
    <w:p w:rsidR="003D112A" w:rsidRPr="003D112A" w:rsidRDefault="003D112A" w:rsidP="003D112A">
      <w:pPr>
        <w:numPr>
          <w:ilvl w:val="0"/>
          <w:numId w:val="14"/>
        </w:numPr>
        <w:tabs>
          <w:tab w:val="clear" w:pos="720"/>
          <w:tab w:val="num" w:pos="1080"/>
        </w:tabs>
        <w:spacing w:after="75" w:line="336" w:lineRule="atLeast"/>
        <w:ind w:left="1238"/>
        <w:rPr>
          <w:rFonts w:ascii="Verdana" w:hAnsi="Verdana" w:cstheme="minorHAnsi"/>
        </w:rPr>
      </w:pPr>
      <w:r w:rsidRPr="003D112A">
        <w:rPr>
          <w:rFonts w:ascii="Verdana" w:hAnsi="Verdana" w:cstheme="minorHAnsi"/>
          <w:b/>
        </w:rPr>
        <w:t>Own occupation</w:t>
      </w:r>
      <w:r w:rsidRPr="003D112A">
        <w:rPr>
          <w:rFonts w:ascii="Verdana" w:hAnsi="Verdana" w:cstheme="minorHAnsi"/>
        </w:rPr>
        <w:t xml:space="preserve"> – Where your claim is assessed against your ability to perform the specific requirements of the job you currently do, or</w:t>
      </w:r>
    </w:p>
    <w:p w:rsidR="003D112A" w:rsidRPr="003D112A" w:rsidRDefault="003D112A" w:rsidP="003D112A">
      <w:pPr>
        <w:numPr>
          <w:ilvl w:val="0"/>
          <w:numId w:val="14"/>
        </w:numPr>
        <w:tabs>
          <w:tab w:val="clear" w:pos="720"/>
          <w:tab w:val="num" w:pos="1080"/>
        </w:tabs>
        <w:spacing w:after="75" w:line="336" w:lineRule="atLeast"/>
        <w:ind w:left="1238"/>
        <w:rPr>
          <w:rFonts w:ascii="Verdana" w:hAnsi="Verdana" w:cstheme="minorHAnsi"/>
        </w:rPr>
      </w:pPr>
      <w:r w:rsidRPr="003D112A">
        <w:rPr>
          <w:rFonts w:ascii="Verdana" w:hAnsi="Verdana" w:cstheme="minorHAnsi"/>
          <w:b/>
        </w:rPr>
        <w:t>Any occupation</w:t>
      </w:r>
      <w:r w:rsidRPr="003D112A">
        <w:rPr>
          <w:rFonts w:ascii="Verdana" w:hAnsi="Verdana" w:cstheme="minorHAnsi"/>
        </w:rPr>
        <w:t xml:space="preserve"> – Where your claim is assessed against your ability to perform any job you are qualified or suited to </w:t>
      </w:r>
      <w:proofErr w:type="spellStart"/>
      <w:r w:rsidRPr="003D112A">
        <w:rPr>
          <w:rFonts w:ascii="Verdana" w:hAnsi="Verdana" w:cstheme="minorHAnsi"/>
        </w:rPr>
        <w:t>based</w:t>
      </w:r>
      <w:proofErr w:type="spellEnd"/>
      <w:r w:rsidRPr="003D112A">
        <w:rPr>
          <w:rFonts w:ascii="Verdana" w:hAnsi="Verdana" w:cstheme="minorHAnsi"/>
        </w:rPr>
        <w:t xml:space="preserve"> on your education training or experience </w:t>
      </w:r>
    </w:p>
    <w:p w:rsidR="003D112A" w:rsidRPr="003D112A" w:rsidRDefault="003D112A" w:rsidP="003D112A">
      <w:pPr>
        <w:spacing w:after="150" w:line="336" w:lineRule="atLeast"/>
        <w:ind w:left="360"/>
        <w:rPr>
          <w:rFonts w:ascii="Verdana" w:hAnsi="Verdana" w:cstheme="minorHAnsi"/>
        </w:rPr>
      </w:pPr>
      <w:r w:rsidRPr="003D112A">
        <w:rPr>
          <w:rFonts w:ascii="Verdana" w:hAnsi="Verdana" w:cstheme="minorHAnsi"/>
        </w:rPr>
        <w:t xml:space="preserve">Say you’re a cabinet maker who permanently lose the use of one of their hands. Under an own occupation definition, you’re likely to be considered totally and permanently disabled as you’ll never be able to perform your current job again. But under </w:t>
      </w:r>
      <w:proofErr w:type="gramStart"/>
      <w:r w:rsidRPr="003D112A">
        <w:rPr>
          <w:rFonts w:ascii="Verdana" w:hAnsi="Verdana" w:cstheme="minorHAnsi"/>
        </w:rPr>
        <w:t>an any</w:t>
      </w:r>
      <w:proofErr w:type="gramEnd"/>
      <w:r w:rsidRPr="003D112A">
        <w:rPr>
          <w:rFonts w:ascii="Verdana" w:hAnsi="Verdana" w:cstheme="minorHAnsi"/>
        </w:rPr>
        <w:t xml:space="preserve"> occupation definition, you may still be able to work for a building supply company providing advice or as a TAFE teacher which means you may not be considered totally and permanently disabled. </w:t>
      </w:r>
    </w:p>
    <w:p w:rsidR="003D112A" w:rsidRDefault="003D112A" w:rsidP="003D112A">
      <w:pPr>
        <w:spacing w:after="150" w:line="336" w:lineRule="atLeast"/>
        <w:ind w:left="360"/>
        <w:rPr>
          <w:rFonts w:ascii="Verdana" w:hAnsi="Verdana" w:cstheme="minorHAnsi"/>
        </w:rPr>
      </w:pPr>
      <w:r w:rsidRPr="003D112A">
        <w:rPr>
          <w:rFonts w:ascii="Verdana" w:hAnsi="Verdana" w:cstheme="minorHAnsi"/>
        </w:rPr>
        <w:t xml:space="preserve">With a greater likelihood of a claim being accepted, an own occupation definition typically adds to the cost of TPD, and it may not be available to all occupations. </w:t>
      </w:r>
    </w:p>
    <w:p w:rsidR="003D112A" w:rsidRPr="003D112A" w:rsidRDefault="003D112A" w:rsidP="003D112A">
      <w:pPr>
        <w:spacing w:after="150" w:line="336" w:lineRule="atLeast"/>
        <w:ind w:left="360"/>
        <w:rPr>
          <w:rFonts w:ascii="Verdana" w:hAnsi="Verdana" w:cstheme="minorHAnsi"/>
        </w:rPr>
      </w:pPr>
    </w:p>
    <w:p w:rsidR="003D112A" w:rsidRPr="003D112A" w:rsidRDefault="003D112A" w:rsidP="003D112A">
      <w:pPr>
        <w:ind w:left="360"/>
        <w:rPr>
          <w:rFonts w:ascii="Verdana" w:hAnsi="Verdana" w:cs="Arial"/>
          <w:b/>
          <w:color w:val="415763"/>
          <w:lang w:val="en-AU" w:eastAsia="en-AU"/>
        </w:rPr>
      </w:pPr>
      <w:r w:rsidRPr="003D112A">
        <w:rPr>
          <w:rFonts w:ascii="Verdana" w:hAnsi="Verdana" w:cs="Arial"/>
          <w:b/>
          <w:color w:val="415763"/>
          <w:lang w:val="en-AU" w:eastAsia="en-AU"/>
        </w:rPr>
        <w:t>2. Maximum medical improvement</w:t>
      </w:r>
    </w:p>
    <w:p w:rsidR="003D112A" w:rsidRPr="003D112A" w:rsidRDefault="003D112A" w:rsidP="003D112A">
      <w:pPr>
        <w:ind w:left="360"/>
        <w:rPr>
          <w:rFonts w:ascii="Verdana" w:hAnsi="Verdana" w:cstheme="minorHAnsi"/>
        </w:rPr>
      </w:pPr>
      <w:r w:rsidRPr="003D112A">
        <w:rPr>
          <w:rFonts w:ascii="Verdana" w:hAnsi="Verdana" w:cstheme="minorHAnsi"/>
        </w:rPr>
        <w:t xml:space="preserve">TPD cover claims can take longer to pay than other types of life insurance, mainly because of the complexity involved in determining whether a disability is permanent. </w:t>
      </w:r>
    </w:p>
    <w:p w:rsidR="003D112A" w:rsidRPr="003D112A" w:rsidRDefault="003D112A" w:rsidP="003D112A">
      <w:pPr>
        <w:spacing w:after="150" w:line="336" w:lineRule="atLeast"/>
        <w:ind w:left="360"/>
        <w:rPr>
          <w:rFonts w:ascii="Verdana" w:hAnsi="Verdana" w:cstheme="minorHAnsi"/>
        </w:rPr>
      </w:pPr>
      <w:r w:rsidRPr="003D112A">
        <w:rPr>
          <w:rFonts w:ascii="Verdana" w:hAnsi="Verdana" w:cstheme="minorHAnsi"/>
        </w:rPr>
        <w:t xml:space="preserve">Generally a TPD claim will only be paid when you obtain “maximum medical improvement”. That means you need to have had any operations, rehabilitation or medical procedures recommended by your treating doctors. </w:t>
      </w:r>
    </w:p>
    <w:p w:rsidR="003D112A" w:rsidRPr="003D112A" w:rsidRDefault="003D112A" w:rsidP="003D112A">
      <w:pPr>
        <w:spacing w:after="150" w:line="336" w:lineRule="atLeast"/>
        <w:ind w:left="360"/>
        <w:rPr>
          <w:rFonts w:ascii="Verdana" w:hAnsi="Verdana" w:cstheme="minorHAnsi"/>
        </w:rPr>
      </w:pPr>
      <w:r w:rsidRPr="003D112A">
        <w:rPr>
          <w:rFonts w:ascii="Verdana" w:hAnsi="Verdana" w:cstheme="minorHAnsi"/>
        </w:rPr>
        <w:t xml:space="preserve">As you can imagine, a TPD cover claim can take months or even years to play out, and it does have a higher decline rate than other cover types because of the difficulty in proving permanency. For those reasons, TPD cover is often taken in </w:t>
      </w:r>
      <w:r w:rsidRPr="003D112A">
        <w:rPr>
          <w:rFonts w:ascii="Verdana" w:hAnsi="Verdana" w:cstheme="minorHAnsi"/>
        </w:rPr>
        <w:lastRenderedPageBreak/>
        <w:t xml:space="preserve">conjunction with </w:t>
      </w:r>
      <w:hyperlink r:id="rId5" w:history="1">
        <w:r w:rsidRPr="003D112A">
          <w:rPr>
            <w:rFonts w:ascii="Verdana" w:hAnsi="Verdana" w:cstheme="minorHAnsi"/>
          </w:rPr>
          <w:t xml:space="preserve">trauma cover </w:t>
        </w:r>
      </w:hyperlink>
      <w:r w:rsidRPr="003D112A">
        <w:rPr>
          <w:rFonts w:ascii="Verdana" w:hAnsi="Verdana" w:cstheme="minorHAnsi"/>
        </w:rPr>
        <w:t>– which can provide more immediate financial support for a defined list of serious medical conditions.</w:t>
      </w:r>
    </w:p>
    <w:p w:rsidR="003D112A" w:rsidRPr="003D112A" w:rsidRDefault="003D112A" w:rsidP="003D112A">
      <w:pPr>
        <w:pStyle w:val="Heading3"/>
        <w:ind w:left="360"/>
        <w:rPr>
          <w:rFonts w:ascii="Verdana" w:eastAsiaTheme="minorHAnsi" w:hAnsi="Verdana" w:cs="Arial"/>
          <w:bCs w:val="0"/>
          <w:color w:val="415763"/>
          <w:sz w:val="22"/>
          <w:szCs w:val="22"/>
          <w:lang w:val="en-AU" w:eastAsia="en-AU"/>
        </w:rPr>
      </w:pPr>
      <w:r w:rsidRPr="003D112A">
        <w:rPr>
          <w:rFonts w:ascii="Verdana" w:eastAsiaTheme="minorHAnsi" w:hAnsi="Verdana" w:cs="Arial"/>
          <w:color w:val="415763"/>
          <w:sz w:val="22"/>
          <w:szCs w:val="22"/>
          <w:lang w:val="en-AU" w:eastAsia="en-AU"/>
        </w:rPr>
        <w:t>3. Linked covers</w:t>
      </w:r>
    </w:p>
    <w:p w:rsidR="003D112A" w:rsidRPr="003D112A" w:rsidRDefault="003D112A" w:rsidP="003D112A">
      <w:pPr>
        <w:ind w:left="360"/>
        <w:rPr>
          <w:rFonts w:ascii="Verdana" w:hAnsi="Verdana" w:cstheme="minorHAnsi"/>
        </w:rPr>
      </w:pPr>
      <w:r w:rsidRPr="003D112A">
        <w:rPr>
          <w:rFonts w:ascii="Verdana" w:hAnsi="Verdana" w:cstheme="minorHAnsi"/>
        </w:rPr>
        <w:t xml:space="preserve">TPD cover may be purchased as a stand-alone policy or as a ‘linked policy’ that’s connected to </w:t>
      </w:r>
      <w:hyperlink r:id="rId6" w:history="1">
        <w:r w:rsidRPr="003D112A">
          <w:rPr>
            <w:rFonts w:ascii="Verdana" w:hAnsi="Verdana"/>
          </w:rPr>
          <w:t>life cover</w:t>
        </w:r>
      </w:hyperlink>
      <w:r w:rsidRPr="003D112A">
        <w:rPr>
          <w:rFonts w:ascii="Verdana" w:hAnsi="Verdana" w:cstheme="minorHAnsi"/>
        </w:rPr>
        <w:t xml:space="preserve"> or </w:t>
      </w:r>
      <w:hyperlink r:id="rId7" w:history="1">
        <w:r w:rsidRPr="003D112A">
          <w:rPr>
            <w:rFonts w:ascii="Verdana" w:hAnsi="Verdana"/>
          </w:rPr>
          <w:t>trauma cover</w:t>
        </w:r>
      </w:hyperlink>
      <w:r w:rsidRPr="003D112A">
        <w:rPr>
          <w:rFonts w:ascii="Verdana" w:hAnsi="Verdana" w:cstheme="minorHAnsi"/>
        </w:rPr>
        <w:t xml:space="preserve">. </w:t>
      </w:r>
    </w:p>
    <w:p w:rsidR="003D112A" w:rsidRPr="003D112A" w:rsidRDefault="003D112A" w:rsidP="003D112A">
      <w:pPr>
        <w:pStyle w:val="w-rte-editable"/>
        <w:ind w:left="360"/>
        <w:rPr>
          <w:rFonts w:ascii="Verdana" w:hAnsi="Verdana" w:cstheme="minorHAnsi"/>
          <w:sz w:val="22"/>
          <w:szCs w:val="22"/>
        </w:rPr>
      </w:pPr>
      <w:r w:rsidRPr="003D112A">
        <w:rPr>
          <w:rFonts w:ascii="Verdana" w:hAnsi="Verdana" w:cstheme="minorHAnsi"/>
          <w:sz w:val="22"/>
          <w:szCs w:val="22"/>
        </w:rPr>
        <w:t>Linking policies reduces your premium, but there are major implications at claim time.</w:t>
      </w:r>
    </w:p>
    <w:p w:rsidR="003D112A" w:rsidRPr="003D112A" w:rsidRDefault="003D112A" w:rsidP="003D112A">
      <w:pPr>
        <w:spacing w:before="100" w:beforeAutospacing="1" w:after="0" w:line="240" w:lineRule="auto"/>
        <w:ind w:left="360"/>
        <w:rPr>
          <w:rFonts w:ascii="Verdana" w:eastAsia="Times New Roman" w:hAnsi="Verdana" w:cstheme="minorHAnsi"/>
          <w:lang w:eastAsia="en-GB"/>
        </w:rPr>
      </w:pPr>
      <w:r w:rsidRPr="003D112A">
        <w:rPr>
          <w:rFonts w:ascii="Verdana" w:eastAsia="Times New Roman" w:hAnsi="Verdana" w:cstheme="minorHAnsi"/>
          <w:lang w:eastAsia="en-GB"/>
        </w:rPr>
        <w:t>Say you have a $200,000 TPD cover policy linked to a $500,000 life cover policy. If you make a successful claim on your TPD cover, your life cover benefit will reduce by the $200,000 paid out (i.e. to $300,000).</w:t>
      </w:r>
    </w:p>
    <w:p w:rsidR="003D112A" w:rsidRPr="003D112A" w:rsidRDefault="003D112A" w:rsidP="003D112A">
      <w:pPr>
        <w:spacing w:after="0" w:line="240" w:lineRule="auto"/>
        <w:ind w:left="360"/>
        <w:rPr>
          <w:rFonts w:ascii="Verdana" w:eastAsia="Times New Roman" w:hAnsi="Verdana" w:cstheme="minorHAnsi"/>
          <w:lang w:eastAsia="en-GB"/>
        </w:rPr>
      </w:pPr>
      <w:r w:rsidRPr="003D112A">
        <w:rPr>
          <w:rFonts w:ascii="Verdana" w:eastAsia="Times New Roman" w:hAnsi="Verdana" w:cstheme="minorHAnsi"/>
          <w:noProof/>
          <w:lang w:val="en-AU" w:eastAsia="en-AU"/>
        </w:rPr>
        <w:drawing>
          <wp:inline distT="0" distB="0" distL="0" distR="0" wp14:anchorId="722A1782" wp14:editId="53D4C784">
            <wp:extent cx="5455759" cy="2228850"/>
            <wp:effectExtent l="0" t="0" r="0" b="0"/>
            <wp:docPr id="4" name="Picture 4" descr="https://uploads-ssl.webflow.com/5cc92324374adf52bb72adcd/5d140f2ee405ca3d5c3d14e1_Deep%20Dive_TPD_Before%20and%20after%20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s-ssl.webflow.com/5cc92324374adf52bb72adcd/5d140f2ee405ca3d5c3d14e1_Deep%20Dive_TPD_Before%20and%20after%20clai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6326" cy="2261764"/>
                    </a:xfrm>
                    <a:prstGeom prst="rect">
                      <a:avLst/>
                    </a:prstGeom>
                    <a:noFill/>
                    <a:ln>
                      <a:noFill/>
                    </a:ln>
                  </pic:spPr>
                </pic:pic>
              </a:graphicData>
            </a:graphic>
          </wp:inline>
        </w:drawing>
      </w:r>
    </w:p>
    <w:p w:rsidR="003D112A" w:rsidRPr="003D112A" w:rsidRDefault="003D112A" w:rsidP="003D112A">
      <w:pPr>
        <w:spacing w:after="100" w:afterAutospacing="1" w:line="240" w:lineRule="auto"/>
        <w:ind w:left="360"/>
        <w:rPr>
          <w:rFonts w:ascii="Verdana" w:eastAsia="Times New Roman" w:hAnsi="Verdana" w:cstheme="minorHAnsi"/>
          <w:lang w:eastAsia="en-GB"/>
        </w:rPr>
      </w:pPr>
      <w:r w:rsidRPr="003D112A">
        <w:rPr>
          <w:rFonts w:ascii="Verdana" w:eastAsia="Times New Roman" w:hAnsi="Verdana" w:cstheme="minorHAnsi"/>
          <w:lang w:eastAsia="en-GB"/>
        </w:rPr>
        <w:t>Depending on your situation you may be eligible to buy back this extra life cover at some point, but it’s important to note that your life cover is significantly reduced in the meantime.</w:t>
      </w:r>
    </w:p>
    <w:p w:rsidR="003D112A" w:rsidRPr="003D112A" w:rsidRDefault="003D112A" w:rsidP="003D112A">
      <w:pPr>
        <w:spacing w:after="150" w:line="336" w:lineRule="atLeast"/>
        <w:ind w:left="360"/>
        <w:rPr>
          <w:rFonts w:ascii="Verdana" w:eastAsia="Times New Roman" w:hAnsi="Verdana" w:cs="Arial"/>
          <w:b/>
          <w:bCs/>
          <w:color w:val="415763"/>
          <w:lang w:eastAsia="en-AU"/>
        </w:rPr>
      </w:pPr>
      <w:r w:rsidRPr="003D112A">
        <w:rPr>
          <w:rFonts w:ascii="Verdana" w:eastAsia="Times New Roman" w:hAnsi="Verdana" w:cs="Arial"/>
          <w:b/>
          <w:bCs/>
          <w:color w:val="415763"/>
          <w:lang w:eastAsia="en-AU"/>
        </w:rPr>
        <w:t>Did you know?</w:t>
      </w:r>
    </w:p>
    <w:p w:rsidR="003D112A" w:rsidRPr="003D112A" w:rsidRDefault="003D112A" w:rsidP="003D112A">
      <w:pPr>
        <w:spacing w:after="150" w:line="336" w:lineRule="atLeast"/>
        <w:ind w:left="360"/>
        <w:rPr>
          <w:rFonts w:ascii="Verdana" w:eastAsia="Times New Roman" w:hAnsi="Verdana" w:cstheme="minorHAnsi"/>
          <w:lang w:eastAsia="en-GB"/>
        </w:rPr>
      </w:pPr>
      <w:r w:rsidRPr="003D112A">
        <w:rPr>
          <w:rFonts w:ascii="Verdana" w:eastAsia="Times New Roman" w:hAnsi="Verdana" w:cstheme="minorHAnsi"/>
          <w:lang w:eastAsia="en-GB"/>
        </w:rPr>
        <w:t xml:space="preserve">There’s a common exclusion on TPD cover policies that means you generally won’t be covered if your disability is caused by any self-inflicted act. You can find details of any exclusions in the Product Disclosure Statement (PDS). </w:t>
      </w:r>
    </w:p>
    <w:p w:rsidR="003D112A" w:rsidRPr="003D112A" w:rsidRDefault="003D112A" w:rsidP="00701735">
      <w:pPr>
        <w:spacing w:line="240" w:lineRule="auto"/>
        <w:ind w:left="360"/>
        <w:rPr>
          <w:rFonts w:ascii="Verdana" w:hAnsi="Verdana" w:cstheme="minorHAnsi"/>
          <w:b/>
        </w:rPr>
      </w:pPr>
    </w:p>
    <w:p w:rsidR="00701735" w:rsidRPr="003D112A" w:rsidRDefault="00701735" w:rsidP="00701735">
      <w:pPr>
        <w:spacing w:line="240" w:lineRule="auto"/>
        <w:ind w:left="360"/>
        <w:rPr>
          <w:rFonts w:ascii="Verdana" w:hAnsi="Verdana" w:cstheme="minorHAnsi"/>
          <w:b/>
        </w:rPr>
      </w:pPr>
      <w:r w:rsidRPr="003D112A">
        <w:rPr>
          <w:rFonts w:ascii="Verdana" w:hAnsi="Verdana" w:cstheme="minorHAnsi"/>
          <w:b/>
        </w:rPr>
        <w:t>Want to know more?</w:t>
      </w:r>
    </w:p>
    <w:p w:rsidR="00701735" w:rsidRPr="003D112A" w:rsidRDefault="00701735" w:rsidP="00701735">
      <w:pPr>
        <w:spacing w:line="240" w:lineRule="auto"/>
        <w:ind w:left="360"/>
        <w:rPr>
          <w:rFonts w:ascii="Verdana" w:hAnsi="Verdana" w:cstheme="minorHAnsi"/>
        </w:rPr>
      </w:pPr>
      <w:r w:rsidRPr="003D112A">
        <w:rPr>
          <w:rFonts w:ascii="Verdana" w:hAnsi="Verdana" w:cstheme="minorHAnsi"/>
        </w:rPr>
        <w:t>If you’d like to discuss any of the content in this article and how it may apply to you, please call me on XXXXXXXXXX.</w:t>
      </w:r>
    </w:p>
    <w:p w:rsidR="00701735" w:rsidRPr="003D112A" w:rsidRDefault="00701735" w:rsidP="00064FBA">
      <w:pPr>
        <w:spacing w:after="150" w:line="336" w:lineRule="atLeast"/>
        <w:rPr>
          <w:rFonts w:ascii="Verdana" w:eastAsia="Times New Roman" w:hAnsi="Verdana" w:cstheme="minorHAnsi"/>
          <w:lang w:eastAsia="en-GB"/>
        </w:rPr>
      </w:pPr>
    </w:p>
    <w:sectPr w:rsidR="00701735" w:rsidRPr="003D112A" w:rsidSect="00F82E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4D5"/>
    <w:multiLevelType w:val="multilevel"/>
    <w:tmpl w:val="C476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1256"/>
    <w:multiLevelType w:val="multilevel"/>
    <w:tmpl w:val="961423F2"/>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B528B8"/>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C120C"/>
    <w:multiLevelType w:val="multilevel"/>
    <w:tmpl w:val="0ED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42A4F"/>
    <w:multiLevelType w:val="multilevel"/>
    <w:tmpl w:val="8A2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90296"/>
    <w:multiLevelType w:val="multilevel"/>
    <w:tmpl w:val="DBD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7442E"/>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1A4A37"/>
    <w:multiLevelType w:val="multilevel"/>
    <w:tmpl w:val="AED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B292D"/>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9A6183"/>
    <w:multiLevelType w:val="multilevel"/>
    <w:tmpl w:val="771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234B5"/>
    <w:multiLevelType w:val="multilevel"/>
    <w:tmpl w:val="A7A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05303"/>
    <w:multiLevelType w:val="multilevel"/>
    <w:tmpl w:val="AC60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F7E30"/>
    <w:multiLevelType w:val="hybridMultilevel"/>
    <w:tmpl w:val="F4724364"/>
    <w:lvl w:ilvl="0" w:tplc="990C05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9E117C2"/>
    <w:multiLevelType w:val="multilevel"/>
    <w:tmpl w:val="31C2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0ED1585"/>
    <w:multiLevelType w:val="multilevel"/>
    <w:tmpl w:val="629E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D2193D"/>
    <w:multiLevelType w:val="multilevel"/>
    <w:tmpl w:val="D42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B2BC1"/>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2"/>
  </w:num>
  <w:num w:numId="4">
    <w:abstractNumId w:val="0"/>
  </w:num>
  <w:num w:numId="5">
    <w:abstractNumId w:val="6"/>
  </w:num>
  <w:num w:numId="6">
    <w:abstractNumId w:val="3"/>
  </w:num>
  <w:num w:numId="7">
    <w:abstractNumId w:val="2"/>
  </w:num>
  <w:num w:numId="8">
    <w:abstractNumId w:val="9"/>
  </w:num>
  <w:num w:numId="9">
    <w:abstractNumId w:val="18"/>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5"/>
  </w:num>
  <w:num w:numId="15">
    <w:abstractNumId w:val="16"/>
  </w:num>
  <w:num w:numId="16">
    <w:abstractNumId w:val="4"/>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13"/>
    <w:rsid w:val="000639B1"/>
    <w:rsid w:val="00064FBA"/>
    <w:rsid w:val="000B4DD2"/>
    <w:rsid w:val="00104923"/>
    <w:rsid w:val="00116AC8"/>
    <w:rsid w:val="00165563"/>
    <w:rsid w:val="001B61ED"/>
    <w:rsid w:val="00211513"/>
    <w:rsid w:val="00232F72"/>
    <w:rsid w:val="0023395A"/>
    <w:rsid w:val="00233DBF"/>
    <w:rsid w:val="00291B10"/>
    <w:rsid w:val="00376067"/>
    <w:rsid w:val="003902E7"/>
    <w:rsid w:val="003D112A"/>
    <w:rsid w:val="00451838"/>
    <w:rsid w:val="004D237B"/>
    <w:rsid w:val="004F29F9"/>
    <w:rsid w:val="00501E5C"/>
    <w:rsid w:val="005A04B6"/>
    <w:rsid w:val="00701735"/>
    <w:rsid w:val="008B6D1B"/>
    <w:rsid w:val="00935BA7"/>
    <w:rsid w:val="009904A9"/>
    <w:rsid w:val="009B01F9"/>
    <w:rsid w:val="00A61DFF"/>
    <w:rsid w:val="00A95861"/>
    <w:rsid w:val="00B16FB9"/>
    <w:rsid w:val="00B26368"/>
    <w:rsid w:val="00B6286C"/>
    <w:rsid w:val="00C51B21"/>
    <w:rsid w:val="00C80466"/>
    <w:rsid w:val="00D1585E"/>
    <w:rsid w:val="00D453A8"/>
    <w:rsid w:val="00DC19A4"/>
    <w:rsid w:val="00DD1530"/>
    <w:rsid w:val="00EB704B"/>
    <w:rsid w:val="00ED22FD"/>
    <w:rsid w:val="00F019E6"/>
    <w:rsid w:val="00F641E4"/>
    <w:rsid w:val="00F71864"/>
    <w:rsid w:val="00F8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5C196-FB2E-4DF2-996F-8FEC692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513"/>
  </w:style>
  <w:style w:type="paragraph" w:styleId="Heading3">
    <w:name w:val="heading 3"/>
    <w:basedOn w:val="Normal"/>
    <w:link w:val="Heading3Char"/>
    <w:uiPriority w:val="9"/>
    <w:qFormat/>
    <w:rsid w:val="00116A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16A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513"/>
    <w:pPr>
      <w:ind w:left="720"/>
      <w:contextualSpacing/>
    </w:pPr>
  </w:style>
  <w:style w:type="paragraph" w:customStyle="1" w:styleId="w-rte-editable">
    <w:name w:val="w-rte-editable"/>
    <w:basedOn w:val="Normal"/>
    <w:rsid w:val="00116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AC8"/>
    <w:rPr>
      <w:b/>
      <w:bCs/>
    </w:rPr>
  </w:style>
  <w:style w:type="character" w:customStyle="1" w:styleId="Heading3Char">
    <w:name w:val="Heading 3 Char"/>
    <w:basedOn w:val="DefaultParagraphFont"/>
    <w:link w:val="Heading3"/>
    <w:uiPriority w:val="9"/>
    <w:rsid w:val="00116AC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116AC8"/>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116AC8"/>
    <w:rPr>
      <w:color w:val="0000FF"/>
      <w:u w:val="single"/>
    </w:rPr>
  </w:style>
  <w:style w:type="character" w:styleId="Emphasis">
    <w:name w:val="Emphasis"/>
    <w:basedOn w:val="DefaultParagraphFont"/>
    <w:uiPriority w:val="20"/>
    <w:qFormat/>
    <w:rsid w:val="009904A9"/>
    <w:rPr>
      <w:i/>
      <w:iCs/>
    </w:rPr>
  </w:style>
  <w:style w:type="paragraph" w:styleId="NormalWeb">
    <w:name w:val="Normal (Web)"/>
    <w:basedOn w:val="Normal"/>
    <w:uiPriority w:val="99"/>
    <w:unhideWhenUsed/>
    <w:rsid w:val="004D237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alc-intro">
    <w:name w:val="calc-intro"/>
    <w:basedOn w:val="Normal"/>
    <w:rsid w:val="00D453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D453A8"/>
    <w:rPr>
      <w:sz w:val="16"/>
      <w:szCs w:val="16"/>
    </w:rPr>
  </w:style>
  <w:style w:type="paragraph" w:styleId="CommentText">
    <w:name w:val="annotation text"/>
    <w:basedOn w:val="Normal"/>
    <w:link w:val="CommentTextChar"/>
    <w:uiPriority w:val="99"/>
    <w:semiHidden/>
    <w:unhideWhenUsed/>
    <w:rsid w:val="00D453A8"/>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D453A8"/>
    <w:rPr>
      <w:sz w:val="20"/>
      <w:szCs w:val="20"/>
      <w:lang w:val="en-AU"/>
    </w:rPr>
  </w:style>
  <w:style w:type="paragraph" w:styleId="BalloonText">
    <w:name w:val="Balloon Text"/>
    <w:basedOn w:val="Normal"/>
    <w:link w:val="BalloonTextChar"/>
    <w:uiPriority w:val="99"/>
    <w:semiHidden/>
    <w:unhideWhenUsed/>
    <w:rsid w:val="00D45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2314">
      <w:bodyDiv w:val="1"/>
      <w:marLeft w:val="0"/>
      <w:marRight w:val="0"/>
      <w:marTop w:val="0"/>
      <w:marBottom w:val="0"/>
      <w:divBdr>
        <w:top w:val="none" w:sz="0" w:space="0" w:color="auto"/>
        <w:left w:val="none" w:sz="0" w:space="0" w:color="auto"/>
        <w:bottom w:val="none" w:sz="0" w:space="0" w:color="auto"/>
        <w:right w:val="none" w:sz="0" w:space="0" w:color="auto"/>
      </w:divBdr>
      <w:divsChild>
        <w:div w:id="192171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95995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6004">
      <w:bodyDiv w:val="1"/>
      <w:marLeft w:val="0"/>
      <w:marRight w:val="0"/>
      <w:marTop w:val="0"/>
      <w:marBottom w:val="0"/>
      <w:divBdr>
        <w:top w:val="none" w:sz="0" w:space="0" w:color="auto"/>
        <w:left w:val="none" w:sz="0" w:space="0" w:color="auto"/>
        <w:bottom w:val="none" w:sz="0" w:space="0" w:color="auto"/>
        <w:right w:val="none" w:sz="0" w:space="0" w:color="auto"/>
      </w:divBdr>
      <w:divsChild>
        <w:div w:id="862209479">
          <w:marLeft w:val="0"/>
          <w:marRight w:val="0"/>
          <w:marTop w:val="0"/>
          <w:marBottom w:val="0"/>
          <w:divBdr>
            <w:top w:val="none" w:sz="0" w:space="0" w:color="auto"/>
            <w:left w:val="none" w:sz="0" w:space="0" w:color="auto"/>
            <w:bottom w:val="none" w:sz="0" w:space="0" w:color="auto"/>
            <w:right w:val="none" w:sz="0" w:space="0" w:color="auto"/>
          </w:divBdr>
        </w:div>
      </w:divsChild>
    </w:div>
    <w:div w:id="208038436">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5">
          <w:marLeft w:val="0"/>
          <w:marRight w:val="0"/>
          <w:marTop w:val="0"/>
          <w:marBottom w:val="0"/>
          <w:divBdr>
            <w:top w:val="none" w:sz="0" w:space="0" w:color="auto"/>
            <w:left w:val="none" w:sz="0" w:space="0" w:color="auto"/>
            <w:bottom w:val="none" w:sz="0" w:space="0" w:color="auto"/>
            <w:right w:val="none" w:sz="0" w:space="0" w:color="auto"/>
          </w:divBdr>
        </w:div>
      </w:divsChild>
    </w:div>
    <w:div w:id="222176768">
      <w:bodyDiv w:val="1"/>
      <w:marLeft w:val="0"/>
      <w:marRight w:val="0"/>
      <w:marTop w:val="0"/>
      <w:marBottom w:val="0"/>
      <w:divBdr>
        <w:top w:val="none" w:sz="0" w:space="0" w:color="auto"/>
        <w:left w:val="none" w:sz="0" w:space="0" w:color="auto"/>
        <w:bottom w:val="none" w:sz="0" w:space="0" w:color="auto"/>
        <w:right w:val="none" w:sz="0" w:space="0" w:color="auto"/>
      </w:divBdr>
      <w:divsChild>
        <w:div w:id="1067144880">
          <w:marLeft w:val="0"/>
          <w:marRight w:val="0"/>
          <w:marTop w:val="0"/>
          <w:marBottom w:val="0"/>
          <w:divBdr>
            <w:top w:val="none" w:sz="0" w:space="0" w:color="auto"/>
            <w:left w:val="none" w:sz="0" w:space="0" w:color="auto"/>
            <w:bottom w:val="none" w:sz="0" w:space="0" w:color="auto"/>
            <w:right w:val="none" w:sz="0" w:space="0" w:color="auto"/>
          </w:divBdr>
        </w:div>
        <w:div w:id="129528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522138">
      <w:bodyDiv w:val="1"/>
      <w:marLeft w:val="0"/>
      <w:marRight w:val="0"/>
      <w:marTop w:val="0"/>
      <w:marBottom w:val="0"/>
      <w:divBdr>
        <w:top w:val="none" w:sz="0" w:space="0" w:color="auto"/>
        <w:left w:val="none" w:sz="0" w:space="0" w:color="auto"/>
        <w:bottom w:val="none" w:sz="0" w:space="0" w:color="auto"/>
        <w:right w:val="none" w:sz="0" w:space="0" w:color="auto"/>
      </w:divBdr>
    </w:div>
    <w:div w:id="545918147">
      <w:bodyDiv w:val="1"/>
      <w:marLeft w:val="0"/>
      <w:marRight w:val="0"/>
      <w:marTop w:val="0"/>
      <w:marBottom w:val="0"/>
      <w:divBdr>
        <w:top w:val="none" w:sz="0" w:space="0" w:color="auto"/>
        <w:left w:val="none" w:sz="0" w:space="0" w:color="auto"/>
        <w:bottom w:val="none" w:sz="0" w:space="0" w:color="auto"/>
        <w:right w:val="none" w:sz="0" w:space="0" w:color="auto"/>
      </w:divBdr>
      <w:divsChild>
        <w:div w:id="1393196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913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423021">
      <w:bodyDiv w:val="1"/>
      <w:marLeft w:val="0"/>
      <w:marRight w:val="0"/>
      <w:marTop w:val="0"/>
      <w:marBottom w:val="0"/>
      <w:divBdr>
        <w:top w:val="none" w:sz="0" w:space="0" w:color="auto"/>
        <w:left w:val="none" w:sz="0" w:space="0" w:color="auto"/>
        <w:bottom w:val="none" w:sz="0" w:space="0" w:color="auto"/>
        <w:right w:val="none" w:sz="0" w:space="0" w:color="auto"/>
      </w:divBdr>
      <w:divsChild>
        <w:div w:id="327249469">
          <w:marLeft w:val="0"/>
          <w:marRight w:val="0"/>
          <w:marTop w:val="0"/>
          <w:marBottom w:val="0"/>
          <w:divBdr>
            <w:top w:val="none" w:sz="0" w:space="0" w:color="auto"/>
            <w:left w:val="none" w:sz="0" w:space="0" w:color="auto"/>
            <w:bottom w:val="none" w:sz="0" w:space="0" w:color="auto"/>
            <w:right w:val="none" w:sz="0" w:space="0" w:color="auto"/>
          </w:divBdr>
        </w:div>
      </w:divsChild>
    </w:div>
    <w:div w:id="965695272">
      <w:bodyDiv w:val="1"/>
      <w:marLeft w:val="0"/>
      <w:marRight w:val="0"/>
      <w:marTop w:val="0"/>
      <w:marBottom w:val="0"/>
      <w:divBdr>
        <w:top w:val="none" w:sz="0" w:space="0" w:color="auto"/>
        <w:left w:val="none" w:sz="0" w:space="0" w:color="auto"/>
        <w:bottom w:val="none" w:sz="0" w:space="0" w:color="auto"/>
        <w:right w:val="none" w:sz="0" w:space="0" w:color="auto"/>
      </w:divBdr>
      <w:divsChild>
        <w:div w:id="15337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949052">
          <w:marLeft w:val="0"/>
          <w:marRight w:val="0"/>
          <w:marTop w:val="0"/>
          <w:marBottom w:val="0"/>
          <w:divBdr>
            <w:top w:val="none" w:sz="0" w:space="0" w:color="auto"/>
            <w:left w:val="none" w:sz="0" w:space="0" w:color="auto"/>
            <w:bottom w:val="none" w:sz="0" w:space="0" w:color="auto"/>
            <w:right w:val="none" w:sz="0" w:space="0" w:color="auto"/>
          </w:divBdr>
        </w:div>
      </w:divsChild>
    </w:div>
    <w:div w:id="1002703548">
      <w:bodyDiv w:val="1"/>
      <w:marLeft w:val="0"/>
      <w:marRight w:val="0"/>
      <w:marTop w:val="0"/>
      <w:marBottom w:val="0"/>
      <w:divBdr>
        <w:top w:val="none" w:sz="0" w:space="0" w:color="auto"/>
        <w:left w:val="none" w:sz="0" w:space="0" w:color="auto"/>
        <w:bottom w:val="none" w:sz="0" w:space="0" w:color="auto"/>
        <w:right w:val="none" w:sz="0" w:space="0" w:color="auto"/>
      </w:divBdr>
      <w:divsChild>
        <w:div w:id="9240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972381">
      <w:bodyDiv w:val="1"/>
      <w:marLeft w:val="0"/>
      <w:marRight w:val="0"/>
      <w:marTop w:val="0"/>
      <w:marBottom w:val="0"/>
      <w:divBdr>
        <w:top w:val="none" w:sz="0" w:space="0" w:color="auto"/>
        <w:left w:val="none" w:sz="0" w:space="0" w:color="auto"/>
        <w:bottom w:val="none" w:sz="0" w:space="0" w:color="auto"/>
        <w:right w:val="none" w:sz="0" w:space="0" w:color="auto"/>
      </w:divBdr>
    </w:div>
    <w:div w:id="1256013466">
      <w:bodyDiv w:val="1"/>
      <w:marLeft w:val="0"/>
      <w:marRight w:val="0"/>
      <w:marTop w:val="0"/>
      <w:marBottom w:val="0"/>
      <w:divBdr>
        <w:top w:val="none" w:sz="0" w:space="0" w:color="auto"/>
        <w:left w:val="none" w:sz="0" w:space="0" w:color="auto"/>
        <w:bottom w:val="none" w:sz="0" w:space="0" w:color="auto"/>
        <w:right w:val="none" w:sz="0" w:space="0" w:color="auto"/>
      </w:divBdr>
      <w:divsChild>
        <w:div w:id="85880955">
          <w:marLeft w:val="0"/>
          <w:marRight w:val="0"/>
          <w:marTop w:val="0"/>
          <w:marBottom w:val="0"/>
          <w:divBdr>
            <w:top w:val="none" w:sz="0" w:space="0" w:color="auto"/>
            <w:left w:val="none" w:sz="0" w:space="0" w:color="auto"/>
            <w:bottom w:val="none" w:sz="0" w:space="0" w:color="auto"/>
            <w:right w:val="none" w:sz="0" w:space="0" w:color="auto"/>
          </w:divBdr>
        </w:div>
        <w:div w:id="1498576276">
          <w:marLeft w:val="0"/>
          <w:marRight w:val="0"/>
          <w:marTop w:val="0"/>
          <w:marBottom w:val="0"/>
          <w:divBdr>
            <w:top w:val="none" w:sz="0" w:space="0" w:color="auto"/>
            <w:left w:val="none" w:sz="0" w:space="0" w:color="auto"/>
            <w:bottom w:val="none" w:sz="0" w:space="0" w:color="auto"/>
            <w:right w:val="none" w:sz="0" w:space="0" w:color="auto"/>
          </w:divBdr>
        </w:div>
      </w:divsChild>
    </w:div>
    <w:div w:id="1263222098">
      <w:bodyDiv w:val="1"/>
      <w:marLeft w:val="0"/>
      <w:marRight w:val="0"/>
      <w:marTop w:val="0"/>
      <w:marBottom w:val="0"/>
      <w:divBdr>
        <w:top w:val="none" w:sz="0" w:space="0" w:color="auto"/>
        <w:left w:val="none" w:sz="0" w:space="0" w:color="auto"/>
        <w:bottom w:val="none" w:sz="0" w:space="0" w:color="auto"/>
        <w:right w:val="none" w:sz="0" w:space="0" w:color="auto"/>
      </w:divBdr>
    </w:div>
    <w:div w:id="1399092052">
      <w:bodyDiv w:val="1"/>
      <w:marLeft w:val="0"/>
      <w:marRight w:val="0"/>
      <w:marTop w:val="0"/>
      <w:marBottom w:val="0"/>
      <w:divBdr>
        <w:top w:val="none" w:sz="0" w:space="0" w:color="auto"/>
        <w:left w:val="none" w:sz="0" w:space="0" w:color="auto"/>
        <w:bottom w:val="none" w:sz="0" w:space="0" w:color="auto"/>
        <w:right w:val="none" w:sz="0" w:space="0" w:color="auto"/>
      </w:divBdr>
    </w:div>
    <w:div w:id="1508323057">
      <w:bodyDiv w:val="1"/>
      <w:marLeft w:val="0"/>
      <w:marRight w:val="0"/>
      <w:marTop w:val="0"/>
      <w:marBottom w:val="0"/>
      <w:divBdr>
        <w:top w:val="none" w:sz="0" w:space="0" w:color="auto"/>
        <w:left w:val="none" w:sz="0" w:space="0" w:color="auto"/>
        <w:bottom w:val="none" w:sz="0" w:space="0" w:color="auto"/>
        <w:right w:val="none" w:sz="0" w:space="0" w:color="auto"/>
      </w:divBdr>
    </w:div>
    <w:div w:id="1528593793">
      <w:bodyDiv w:val="1"/>
      <w:marLeft w:val="0"/>
      <w:marRight w:val="0"/>
      <w:marTop w:val="0"/>
      <w:marBottom w:val="0"/>
      <w:divBdr>
        <w:top w:val="none" w:sz="0" w:space="0" w:color="auto"/>
        <w:left w:val="none" w:sz="0" w:space="0" w:color="auto"/>
        <w:bottom w:val="none" w:sz="0" w:space="0" w:color="auto"/>
        <w:right w:val="none" w:sz="0" w:space="0" w:color="auto"/>
      </w:divBdr>
      <w:divsChild>
        <w:div w:id="511140048">
          <w:marLeft w:val="0"/>
          <w:marRight w:val="0"/>
          <w:marTop w:val="0"/>
          <w:marBottom w:val="0"/>
          <w:divBdr>
            <w:top w:val="none" w:sz="0" w:space="0" w:color="auto"/>
            <w:left w:val="none" w:sz="0" w:space="0" w:color="auto"/>
            <w:bottom w:val="none" w:sz="0" w:space="0" w:color="auto"/>
            <w:right w:val="none" w:sz="0" w:space="0" w:color="auto"/>
          </w:divBdr>
        </w:div>
      </w:divsChild>
    </w:div>
    <w:div w:id="1680043321">
      <w:bodyDiv w:val="1"/>
      <w:marLeft w:val="0"/>
      <w:marRight w:val="0"/>
      <w:marTop w:val="0"/>
      <w:marBottom w:val="0"/>
      <w:divBdr>
        <w:top w:val="none" w:sz="0" w:space="0" w:color="auto"/>
        <w:left w:val="none" w:sz="0" w:space="0" w:color="auto"/>
        <w:bottom w:val="none" w:sz="0" w:space="0" w:color="auto"/>
        <w:right w:val="none" w:sz="0" w:space="0" w:color="auto"/>
      </w:divBdr>
    </w:div>
    <w:div w:id="1798134777">
      <w:bodyDiv w:val="1"/>
      <w:marLeft w:val="0"/>
      <w:marRight w:val="0"/>
      <w:marTop w:val="0"/>
      <w:marBottom w:val="0"/>
      <w:divBdr>
        <w:top w:val="none" w:sz="0" w:space="0" w:color="auto"/>
        <w:left w:val="none" w:sz="0" w:space="0" w:color="auto"/>
        <w:bottom w:val="none" w:sz="0" w:space="0" w:color="auto"/>
        <w:right w:val="none" w:sz="0" w:space="0" w:color="auto"/>
      </w:divBdr>
      <w:divsChild>
        <w:div w:id="65892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05936">
      <w:bodyDiv w:val="1"/>
      <w:marLeft w:val="0"/>
      <w:marRight w:val="0"/>
      <w:marTop w:val="0"/>
      <w:marBottom w:val="0"/>
      <w:divBdr>
        <w:top w:val="none" w:sz="0" w:space="0" w:color="auto"/>
        <w:left w:val="none" w:sz="0" w:space="0" w:color="auto"/>
        <w:bottom w:val="none" w:sz="0" w:space="0" w:color="auto"/>
        <w:right w:val="none" w:sz="0" w:space="0" w:color="auto"/>
      </w:divBdr>
    </w:div>
    <w:div w:id="1877310671">
      <w:bodyDiv w:val="1"/>
      <w:marLeft w:val="0"/>
      <w:marRight w:val="0"/>
      <w:marTop w:val="0"/>
      <w:marBottom w:val="0"/>
      <w:divBdr>
        <w:top w:val="none" w:sz="0" w:space="0" w:color="auto"/>
        <w:left w:val="none" w:sz="0" w:space="0" w:color="auto"/>
        <w:bottom w:val="none" w:sz="0" w:space="0" w:color="auto"/>
        <w:right w:val="none" w:sz="0" w:space="0" w:color="auto"/>
      </w:divBdr>
      <w:divsChild>
        <w:div w:id="685987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818090">
      <w:bodyDiv w:val="1"/>
      <w:marLeft w:val="0"/>
      <w:marRight w:val="0"/>
      <w:marTop w:val="0"/>
      <w:marBottom w:val="0"/>
      <w:divBdr>
        <w:top w:val="none" w:sz="0" w:space="0" w:color="auto"/>
        <w:left w:val="none" w:sz="0" w:space="0" w:color="auto"/>
        <w:bottom w:val="none" w:sz="0" w:space="0" w:color="auto"/>
        <w:right w:val="none" w:sz="0" w:space="0" w:color="auto"/>
      </w:divBdr>
      <w:divsChild>
        <w:div w:id="14007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64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auintranetdfs\2k\Zurich_Shared_Folder\insurance%20product\Cust%20Engmt%20&amp;%20Retention\02.Campaigns%20&amp;%20Projects\01.Customer\Customer%20Engagement%20Program\PP2%20-%20Content%20Strategy%20&amp;%20Campaign\article\top-3-things-you-need-to-know-about-trauma-co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uintranetdfs\2k\Zurich_Shared_Folder\insurance%20product\Cust%20Engmt%20&amp;%20Retention\02.Campaigns%20&amp;%20Projects\01.Customer\Customer%20Engagement%20Program\PP2%20-%20Content%20Strategy%20&amp;%20Campaign\article\top-3-things-you-need-to-know-about-life-cover" TargetMode="External"/><Relationship Id="rId5" Type="http://schemas.openxmlformats.org/officeDocument/2006/relationships/hyperlink" Target="https://onepath.webflow.io/article/top-3-things-you-need-to-know-about-trauma-cov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2019-08-22T14:14:00Z</dcterms:created>
  <dcterms:modified xsi:type="dcterms:W3CDTF">2019-08-23T02:40:00Z</dcterms:modified>
</cp:coreProperties>
</file>